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20" w:rsidRDefault="00743F88">
      <w:pPr>
        <w:tabs>
          <w:tab w:val="right" w:pos="7088"/>
          <w:tab w:val="right" w:pos="7655"/>
          <w:tab w:val="center" w:pos="7938"/>
          <w:tab w:val="left" w:pos="8222"/>
        </w:tabs>
        <w:rPr>
          <w:rFonts w:ascii="Times New Roman" w:hAnsi="Times New Roman" w:cs="Times New Roman"/>
          <w:sz w:val="8"/>
          <w:szCs w:val="8"/>
          <w:u w:val="single"/>
        </w:rPr>
      </w:pPr>
      <w:r w:rsidRPr="00743F88">
        <w:rPr>
          <w:noProof/>
          <w:sz w:val="96"/>
          <w:lang w:eastAsia="lt-LT"/>
        </w:rPr>
        <w:drawing>
          <wp:anchor distT="0" distB="0" distL="114300" distR="114300" simplePos="0" relativeHeight="251658240" behindDoc="0" locked="0" layoutInCell="1" allowOverlap="1" wp14:anchorId="722771A0" wp14:editId="6E3EF9FD">
            <wp:simplePos x="0" y="0"/>
            <wp:positionH relativeFrom="column">
              <wp:posOffset>3105150</wp:posOffset>
            </wp:positionH>
            <wp:positionV relativeFrom="paragraph">
              <wp:posOffset>-386715</wp:posOffset>
            </wp:positionV>
            <wp:extent cx="2362200" cy="228600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4FA">
        <w:rPr>
          <w:rFonts w:ascii="Times New Roman" w:hAnsi="Times New Roman" w:cs="Times New Roman"/>
          <w:sz w:val="8"/>
          <w:szCs w:val="8"/>
          <w:u w:val="single"/>
        </w:rPr>
        <w:t xml:space="preserve">   </w:t>
      </w:r>
    </w:p>
    <w:p w:rsidR="00E166A3" w:rsidRPr="00E166A3" w:rsidRDefault="004234FA" w:rsidP="004234FA">
      <w:pPr>
        <w:spacing w:after="0" w:line="240" w:lineRule="auto"/>
        <w:ind w:right="-46"/>
        <w:jc w:val="both"/>
        <w:rPr>
          <w:rFonts w:ascii="Arial Black" w:hAnsi="Arial Black" w:cs="Times New Roman"/>
          <w:b/>
          <w:color w:val="76923C" w:themeColor="accent3" w:themeShade="BF"/>
          <w:sz w:val="14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52"/>
          <w:szCs w:val="52"/>
        </w:rPr>
        <w:t xml:space="preserve">      </w:t>
      </w:r>
      <w:r w:rsidR="00E166A3">
        <w:rPr>
          <w:rFonts w:ascii="Times New Roman" w:hAnsi="Times New Roman" w:cs="Times New Roman"/>
          <w:b/>
          <w:color w:val="76923C" w:themeColor="accent3" w:themeShade="BF"/>
          <w:sz w:val="52"/>
          <w:szCs w:val="52"/>
        </w:rPr>
        <w:t xml:space="preserve">  </w:t>
      </w:r>
      <w:r w:rsidR="00743F88" w:rsidRPr="00E166A3">
        <w:rPr>
          <w:rFonts w:ascii="Times New Roman" w:hAnsi="Times New Roman" w:cs="Times New Roman"/>
          <w:b/>
          <w:color w:val="76923C" w:themeColor="accent3" w:themeShade="BF"/>
          <w:sz w:val="52"/>
          <w:szCs w:val="52"/>
        </w:rPr>
        <w:t xml:space="preserve"> </w:t>
      </w:r>
      <w:r w:rsidR="00E166A3">
        <w:rPr>
          <w:rFonts w:ascii="Times New Roman" w:hAnsi="Times New Roman" w:cs="Times New Roman"/>
          <w:b/>
          <w:noProof/>
          <w:color w:val="76923C" w:themeColor="accent3" w:themeShade="BF"/>
          <w:sz w:val="52"/>
          <w:szCs w:val="52"/>
          <w:lang w:eastAsia="lt-LT"/>
        </w:rPr>
        <w:drawing>
          <wp:inline distT="0" distB="0" distL="0" distR="0" wp14:anchorId="7DF0198F" wp14:editId="7F118B77">
            <wp:extent cx="1876425" cy="685800"/>
            <wp:effectExtent l="0" t="0" r="0" b="0"/>
            <wp:docPr id="13" name="Paveikslėlis 13" descr="\\v490fs02.lrsk.lrs.lt\katalogai$\urban.v\Desktop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v490fs02.lrsk.lrs.lt\katalogai$\urban.v\Desktop\logo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B83" w:rsidRPr="00E166A3">
        <w:rPr>
          <w:rFonts w:ascii="Times New Roman" w:hAnsi="Times New Roman" w:cs="Times New Roman"/>
          <w:b/>
          <w:color w:val="76923C" w:themeColor="accent3" w:themeShade="BF"/>
          <w:sz w:val="52"/>
          <w:szCs w:val="52"/>
        </w:rPr>
        <w:t xml:space="preserve">              </w:t>
      </w:r>
      <w:r w:rsidR="00743F88" w:rsidRPr="00E166A3">
        <w:rPr>
          <w:rFonts w:ascii="Times New Roman" w:hAnsi="Times New Roman" w:cs="Times New Roman"/>
          <w:b/>
          <w:color w:val="76923C" w:themeColor="accent3" w:themeShade="BF"/>
          <w:sz w:val="52"/>
          <w:szCs w:val="52"/>
        </w:rPr>
        <w:t xml:space="preserve"> </w:t>
      </w:r>
      <w:r w:rsidR="00E166A3" w:rsidRPr="00E166A3">
        <w:rPr>
          <w:rFonts w:ascii="Times New Roman" w:hAnsi="Times New Roman" w:cs="Times New Roman"/>
          <w:b/>
          <w:color w:val="76923C" w:themeColor="accent3" w:themeShade="BF"/>
          <w:sz w:val="52"/>
          <w:szCs w:val="52"/>
        </w:rPr>
        <w:t xml:space="preserve">             </w:t>
      </w:r>
    </w:p>
    <w:p w:rsidR="009D7420" w:rsidRPr="004234FA" w:rsidRDefault="00E166A3" w:rsidP="004234FA">
      <w:pPr>
        <w:jc w:val="both"/>
        <w:rPr>
          <w:rFonts w:ascii="Times New Roman" w:hAnsi="Times New Roman" w:cs="Times New Roman"/>
          <w:sz w:val="52"/>
          <w:szCs w:val="52"/>
        </w:rPr>
      </w:pPr>
      <w:r w:rsidRPr="004234FA">
        <w:rPr>
          <w:rFonts w:ascii="Times New Roman" w:hAnsi="Times New Roman" w:cs="Times New Roman"/>
          <w:sz w:val="52"/>
          <w:szCs w:val="52"/>
        </w:rPr>
        <w:t xml:space="preserve">          </w:t>
      </w:r>
      <w:r w:rsidR="004234FA">
        <w:rPr>
          <w:noProof/>
          <w:lang w:eastAsia="lt-LT"/>
        </w:rPr>
        <w:drawing>
          <wp:inline distT="0" distB="0" distL="0" distR="0" wp14:anchorId="0966DE72" wp14:editId="5660B23E">
            <wp:extent cx="1733550" cy="333375"/>
            <wp:effectExtent l="0" t="0" r="0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F88" w:rsidRPr="004234FA">
        <w:rPr>
          <w:rFonts w:ascii="Times New Roman" w:hAnsi="Times New Roman" w:cs="Times New Roman"/>
          <w:sz w:val="52"/>
          <w:szCs w:val="52"/>
        </w:rPr>
        <w:br w:type="textWrapping" w:clear="all"/>
      </w:r>
    </w:p>
    <w:p w:rsidR="009D7420" w:rsidRDefault="009D742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D7420" w:rsidRDefault="009D742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D7420" w:rsidRPr="004234FA" w:rsidRDefault="009D7420">
      <w:pPr>
        <w:ind w:firstLine="1296"/>
        <w:jc w:val="both"/>
        <w:rPr>
          <w:rFonts w:ascii="Times New Roman" w:hAnsi="Times New Roman" w:cs="Times New Roman"/>
          <w:color w:val="008000"/>
          <w:sz w:val="24"/>
          <w:szCs w:val="24"/>
        </w:rPr>
      </w:pPr>
    </w:p>
    <w:p w:rsidR="009D7420" w:rsidRPr="004234FA" w:rsidRDefault="009D7420" w:rsidP="00C93C87">
      <w:pPr>
        <w:jc w:val="both"/>
        <w:rPr>
          <w:rFonts w:ascii="Times New Roman" w:hAnsi="Times New Roman" w:cs="Times New Roman"/>
          <w:b/>
          <w:color w:val="008000"/>
          <w:sz w:val="32"/>
          <w:szCs w:val="24"/>
        </w:rPr>
      </w:pPr>
    </w:p>
    <w:p w:rsidR="009D7420" w:rsidRPr="004234FA" w:rsidRDefault="00590EFE">
      <w:pPr>
        <w:ind w:firstLine="1296"/>
        <w:jc w:val="center"/>
        <w:rPr>
          <w:rFonts w:ascii="Times New Roman" w:hAnsi="Times New Roman" w:cs="Times New Roman"/>
          <w:b/>
          <w:color w:val="008000"/>
          <w:sz w:val="36"/>
          <w:szCs w:val="28"/>
          <w:lang w:val="pl-PL"/>
        </w:rPr>
      </w:pPr>
      <w:r w:rsidRPr="004234FA">
        <w:rPr>
          <w:rFonts w:ascii="Times New Roman" w:hAnsi="Times New Roman" w:cs="Times New Roman"/>
          <w:b/>
          <w:color w:val="008000"/>
          <w:sz w:val="36"/>
          <w:szCs w:val="28"/>
          <w:lang w:val="pl-PL"/>
        </w:rPr>
        <w:t xml:space="preserve">SPRAWOZDANIE </w:t>
      </w:r>
    </w:p>
    <w:p w:rsidR="00C93C87" w:rsidRDefault="00590EFE" w:rsidP="00C93C87">
      <w:pPr>
        <w:ind w:firstLine="1296"/>
        <w:jc w:val="center"/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</w:pPr>
      <w:r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>SEJMOWEJ FRAKCJI AKCJI WYBORCZEJ POLAKÓW</w:t>
      </w:r>
    </w:p>
    <w:p w:rsidR="009D7420" w:rsidRPr="004234FA" w:rsidRDefault="00590EFE" w:rsidP="00C93C87">
      <w:pPr>
        <w:ind w:firstLine="1296"/>
        <w:jc w:val="center"/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</w:pPr>
      <w:r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 xml:space="preserve"> </w:t>
      </w:r>
      <w:r w:rsidR="00C93C87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 xml:space="preserve">   </w:t>
      </w:r>
      <w:r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>NA LITWIE – ZWIĄZKU CHRZEŚCIJAŃSKICH RODZIN</w:t>
      </w:r>
    </w:p>
    <w:p w:rsidR="00CD51F8" w:rsidRPr="004234FA" w:rsidRDefault="00590EFE">
      <w:pPr>
        <w:ind w:firstLine="1296"/>
        <w:jc w:val="center"/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</w:pPr>
      <w:r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 xml:space="preserve">KADENCJA SEJMU </w:t>
      </w:r>
      <w:r w:rsidR="00CD51F8"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 xml:space="preserve">REPUBLIKI LITEWSKIEJ </w:t>
      </w:r>
    </w:p>
    <w:p w:rsidR="009D7420" w:rsidRPr="004234FA" w:rsidRDefault="00EC2FDC" w:rsidP="00EC2FDC">
      <w:pPr>
        <w:ind w:firstLine="1296"/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</w:pPr>
      <w:r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 xml:space="preserve">                                           </w:t>
      </w:r>
      <w:r w:rsidR="00590EFE" w:rsidRPr="004234FA">
        <w:rPr>
          <w:rFonts w:ascii="Times New Roman" w:hAnsi="Times New Roman" w:cs="Times New Roman"/>
          <w:b/>
          <w:color w:val="008000"/>
          <w:sz w:val="28"/>
          <w:szCs w:val="28"/>
          <w:lang w:val="pl-PL"/>
        </w:rPr>
        <w:t xml:space="preserve">2012 – 2016 </w:t>
      </w:r>
    </w:p>
    <w:p w:rsidR="009D7420" w:rsidRDefault="009D7420">
      <w:pPr>
        <w:ind w:firstLine="129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9D7420" w:rsidRDefault="009D7420">
      <w:pPr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D7420" w:rsidRDefault="009D7420">
      <w:pPr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D7420" w:rsidRDefault="009D7420">
      <w:pPr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D7420" w:rsidRDefault="009D7420">
      <w:pPr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D7420" w:rsidRDefault="009D7420">
      <w:pPr>
        <w:ind w:firstLine="1296"/>
        <w:jc w:val="both"/>
        <w:rPr>
          <w:rFonts w:ascii="Times New Roman" w:hAnsi="Times New Roman" w:cs="Times New Roman"/>
          <w:color w:val="008000"/>
          <w:sz w:val="24"/>
          <w:szCs w:val="24"/>
          <w:lang w:val="pl-PL"/>
        </w:rPr>
      </w:pPr>
    </w:p>
    <w:p w:rsidR="004234FA" w:rsidRDefault="004234FA">
      <w:pPr>
        <w:ind w:firstLine="1296"/>
        <w:jc w:val="both"/>
        <w:rPr>
          <w:rFonts w:ascii="Times New Roman" w:hAnsi="Times New Roman" w:cs="Times New Roman"/>
          <w:color w:val="008000"/>
          <w:sz w:val="24"/>
          <w:szCs w:val="24"/>
          <w:lang w:val="pl-PL"/>
        </w:rPr>
      </w:pPr>
    </w:p>
    <w:p w:rsidR="004234FA" w:rsidRDefault="004234FA">
      <w:pPr>
        <w:ind w:firstLine="1296"/>
        <w:jc w:val="both"/>
        <w:rPr>
          <w:rFonts w:ascii="Times New Roman" w:hAnsi="Times New Roman" w:cs="Times New Roman"/>
          <w:color w:val="008000"/>
          <w:sz w:val="24"/>
          <w:szCs w:val="24"/>
          <w:lang w:val="pl-PL"/>
        </w:rPr>
      </w:pPr>
    </w:p>
    <w:p w:rsidR="004234FA" w:rsidRPr="004234FA" w:rsidRDefault="004234FA">
      <w:pPr>
        <w:ind w:firstLine="1296"/>
        <w:jc w:val="both"/>
        <w:rPr>
          <w:rFonts w:ascii="Times New Roman" w:hAnsi="Times New Roman" w:cs="Times New Roman"/>
          <w:color w:val="008000"/>
          <w:sz w:val="24"/>
          <w:szCs w:val="24"/>
          <w:lang w:val="pl-PL"/>
        </w:rPr>
      </w:pPr>
    </w:p>
    <w:p w:rsidR="009D7420" w:rsidRPr="004234FA" w:rsidRDefault="00590EFE">
      <w:pPr>
        <w:ind w:firstLine="1296"/>
        <w:rPr>
          <w:rFonts w:ascii="Times New Roman" w:hAnsi="Times New Roman" w:cs="Times New Roman"/>
          <w:b/>
          <w:color w:val="008000"/>
          <w:sz w:val="24"/>
          <w:szCs w:val="24"/>
          <w:lang w:val="pl-PL"/>
        </w:rPr>
      </w:pPr>
      <w:r w:rsidRPr="004234FA">
        <w:rPr>
          <w:rFonts w:ascii="Times New Roman" w:hAnsi="Times New Roman" w:cs="Times New Roman"/>
          <w:b/>
          <w:color w:val="008000"/>
          <w:sz w:val="24"/>
          <w:szCs w:val="24"/>
          <w:lang w:val="pl-PL"/>
        </w:rPr>
        <w:t xml:space="preserve">           </w:t>
      </w:r>
      <w:r w:rsidR="00AE3EFC" w:rsidRPr="004234FA">
        <w:rPr>
          <w:rFonts w:ascii="Times New Roman" w:hAnsi="Times New Roman" w:cs="Times New Roman"/>
          <w:b/>
          <w:color w:val="008000"/>
          <w:sz w:val="24"/>
          <w:szCs w:val="24"/>
          <w:lang w:val="pl-PL"/>
        </w:rPr>
        <w:t xml:space="preserve">                        Wilno, </w:t>
      </w:r>
      <w:r w:rsidRPr="004234FA">
        <w:rPr>
          <w:rFonts w:ascii="Times New Roman" w:hAnsi="Times New Roman" w:cs="Times New Roman"/>
          <w:b/>
          <w:color w:val="008000"/>
          <w:sz w:val="24"/>
          <w:szCs w:val="24"/>
          <w:lang w:val="pl-PL"/>
        </w:rPr>
        <w:t xml:space="preserve">8 lipca 2016 r. </w:t>
      </w:r>
    </w:p>
    <w:p w:rsidR="009D7420" w:rsidRPr="00C93C87" w:rsidRDefault="00590EFE" w:rsidP="00C93C8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</w:t>
      </w:r>
      <w:r w:rsidR="00C93C8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</w:t>
      </w:r>
    </w:p>
    <w:p w:rsidR="009D7420" w:rsidRDefault="00590EFE">
      <w:pPr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I. INFORMACJE OGÓLNE</w:t>
      </w:r>
    </w:p>
    <w:p w:rsidR="009D7420" w:rsidRPr="0076561D" w:rsidRDefault="00590EFE" w:rsidP="0076561D">
      <w:pPr>
        <w:spacing w:after="0" w:line="360" w:lineRule="auto"/>
        <w:ind w:firstLine="1296"/>
        <w:jc w:val="both"/>
        <w:rPr>
          <w:strike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wyborów parlamentarnych 22 listopada 2012 roku w Sejmie Republiki Litewskiej </w:t>
      </w:r>
      <w:r w:rsidRPr="0076561D">
        <w:rPr>
          <w:rFonts w:ascii="Times New Roman" w:hAnsi="Times New Roman" w:cs="Times New Roman"/>
          <w:sz w:val="24"/>
          <w:szCs w:val="24"/>
          <w:lang w:val="pl-PL"/>
        </w:rPr>
        <w:t xml:space="preserve">powstała </w:t>
      </w:r>
      <w:r w:rsidR="008F184E" w:rsidRPr="0076561D">
        <w:rPr>
          <w:rFonts w:ascii="Times New Roman" w:hAnsi="Times New Roman" w:cs="Times New Roman"/>
          <w:sz w:val="24"/>
          <w:szCs w:val="24"/>
          <w:lang w:val="pl-PL"/>
        </w:rPr>
        <w:t>8-osobowa f</w:t>
      </w:r>
      <w:r w:rsidRPr="0076561D">
        <w:rPr>
          <w:rFonts w:ascii="Times New Roman" w:hAnsi="Times New Roman" w:cs="Times New Roman"/>
          <w:sz w:val="24"/>
          <w:szCs w:val="24"/>
          <w:lang w:val="pl-PL"/>
        </w:rPr>
        <w:t xml:space="preserve">rakcja Akcji Wyborczej Polaków na Litwie (dalej: „Frakcja AWPL“ lub </w:t>
      </w:r>
      <w:r w:rsidR="0076561D">
        <w:rPr>
          <w:rFonts w:ascii="Times New Roman" w:hAnsi="Times New Roman" w:cs="Times New Roman"/>
          <w:sz w:val="24"/>
          <w:szCs w:val="24"/>
          <w:lang w:val="pl-PL"/>
        </w:rPr>
        <w:t>„Frakcja AWPL-</w:t>
      </w:r>
      <w:proofErr w:type="spellStart"/>
      <w:r w:rsidR="0076561D"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 w:rsidR="0076561D">
        <w:rPr>
          <w:rFonts w:ascii="Times New Roman" w:hAnsi="Times New Roman" w:cs="Times New Roman"/>
          <w:sz w:val="24"/>
          <w:szCs w:val="24"/>
          <w:lang w:val="pl-PL"/>
        </w:rPr>
        <w:t xml:space="preserve">” lub </w:t>
      </w:r>
      <w:r w:rsidRPr="0076561D">
        <w:rPr>
          <w:rFonts w:ascii="Times New Roman" w:hAnsi="Times New Roman" w:cs="Times New Roman"/>
          <w:sz w:val="24"/>
          <w:szCs w:val="24"/>
          <w:lang w:val="pl-PL"/>
        </w:rPr>
        <w:t xml:space="preserve">„Frakcja”). </w:t>
      </w:r>
      <w:r w:rsidR="008F184E" w:rsidRPr="0076561D">
        <w:rPr>
          <w:rFonts w:ascii="Times New Roman" w:hAnsi="Times New Roman" w:cs="Times New Roman"/>
          <w:sz w:val="24"/>
          <w:szCs w:val="24"/>
          <w:lang w:val="pl-PL"/>
        </w:rPr>
        <w:t>Z listy A</w:t>
      </w:r>
      <w:r w:rsidR="00C71375" w:rsidRPr="0076561D">
        <w:rPr>
          <w:rFonts w:ascii="Times New Roman" w:hAnsi="Times New Roman" w:cs="Times New Roman"/>
          <w:sz w:val="24"/>
          <w:szCs w:val="24"/>
          <w:lang w:val="pl-PL"/>
        </w:rPr>
        <w:t>kcji Wyborczej Polaków na Litwie</w:t>
      </w:r>
      <w:r w:rsidR="008F184E" w:rsidRPr="0076561D">
        <w:rPr>
          <w:rFonts w:ascii="Times New Roman" w:hAnsi="Times New Roman" w:cs="Times New Roman"/>
          <w:sz w:val="24"/>
          <w:szCs w:val="24"/>
          <w:lang w:val="pl-PL"/>
        </w:rPr>
        <w:t xml:space="preserve"> do Sejmu RL trafiło </w:t>
      </w:r>
      <w:r w:rsidR="0076561D" w:rsidRPr="0076561D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8F184E" w:rsidRPr="0076561D">
        <w:rPr>
          <w:rFonts w:ascii="Times New Roman" w:hAnsi="Times New Roman" w:cs="Times New Roman"/>
          <w:sz w:val="24"/>
          <w:szCs w:val="24"/>
          <w:lang w:val="pl-PL"/>
        </w:rPr>
        <w:t xml:space="preserve"> przedstawicieli</w:t>
      </w:r>
      <w:r w:rsidR="0076561D" w:rsidRPr="0076561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184E" w:rsidRPr="008F18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Czterech posłów pracuje w Sejmie już drugą kadencję – Michał Mackiewicz, Jarosław Narkiewicz, Irina Rozova i Leonard Talmont, zaś pozostali - Zbigniew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Jedziński,  Rita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Tamašunienė, Wanda Krawczonok i Józef Kwiatkowski pracują pierwszą kadencję .  </w:t>
      </w:r>
    </w:p>
    <w:p w:rsidR="009D7420" w:rsidRDefault="009D7420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D7420" w:rsidRDefault="00590EFE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FRAKCJA AWPL-ZChR:</w:t>
      </w:r>
    </w:p>
    <w:p w:rsidR="009D7420" w:rsidRDefault="009D7420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tbl>
      <w:tblPr>
        <w:tblStyle w:val="Lentelstinklelis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9D7420">
        <w:trPr>
          <w:trHeight w:val="3353"/>
        </w:trPr>
        <w:tc>
          <w:tcPr>
            <w:tcW w:w="4621" w:type="dxa"/>
            <w:shd w:val="clear" w:color="auto" w:fill="auto"/>
            <w:tcMar>
              <w:left w:w="108" w:type="dxa"/>
            </w:tcMar>
          </w:tcPr>
          <w:p w:rsidR="009D7420" w:rsidRDefault="00590E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anchor distT="0" distB="9525" distL="114300" distR="123190" simplePos="0" relativeHeight="2" behindDoc="0" locked="0" layoutInCell="1" allowOverlap="1" wp14:anchorId="0523495F" wp14:editId="35C2753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95250</wp:posOffset>
                  </wp:positionV>
                  <wp:extent cx="1285875" cy="1933575"/>
                  <wp:effectExtent l="0" t="0" r="0" b="0"/>
                  <wp:wrapSquare wrapText="bothSides"/>
                  <wp:docPr id="2" name="Paveikslėlis 10" descr="http://www3.lrs.lt/home/seimo_nariu_nuotraukos/2012/rita_tamasunie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10" descr="http://www3.lrs.lt/home/seimo_nariu_nuotraukos/2012/rita_tamasunie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:rsidR="009D7420" w:rsidRDefault="00590EF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 xml:space="preserve"> </w:t>
            </w:r>
          </w:p>
          <w:p w:rsidR="009D7420" w:rsidRDefault="00590EFE">
            <w:pPr>
              <w:spacing w:after="0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RITA  TAMAŠUNIENĖ</w:t>
            </w:r>
          </w:p>
          <w:p w:rsidR="009D7420" w:rsidRDefault="009D7420" w:rsidP="0076561D">
            <w:pPr>
              <w:spacing w:after="0" w:line="360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76561D" w:rsidRPr="0076561D" w:rsidRDefault="00590EFE" w:rsidP="0076561D">
            <w:pPr>
              <w:spacing w:after="0"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Starosta Frakcji AWPL-</w:t>
            </w:r>
            <w:proofErr w:type="spellStart"/>
            <w:r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ZChR</w:t>
            </w:r>
            <w:proofErr w:type="spellEnd"/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tbl>
            <w:tblPr>
              <w:tblW w:w="44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324"/>
            </w:tblGrid>
            <w:tr w:rsidR="009D7420" w:rsidRPr="0076561D">
              <w:tc>
                <w:tcPr>
                  <w:tcW w:w="81" w:type="dxa"/>
                  <w:shd w:val="clear" w:color="auto" w:fill="auto"/>
                  <w:vAlign w:val="center"/>
                </w:tcPr>
                <w:p w:rsidR="009D7420" w:rsidRPr="0076561D" w:rsidRDefault="009D7420" w:rsidP="0076561D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lt-LT"/>
                    </w:rPr>
                  </w:pP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9D7420" w:rsidRPr="00EC2FDC" w:rsidRDefault="00590EFE" w:rsidP="0076561D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656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lt-LT"/>
                    </w:rPr>
                    <w:t>Członek Komitetu ds. Budżetu i finansów</w:t>
                  </w:r>
                  <w:r w:rsidR="00EC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;</w:t>
                  </w:r>
                </w:p>
                <w:p w:rsidR="009D7420" w:rsidRPr="0076561D" w:rsidRDefault="00590EFE" w:rsidP="0076561D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76561D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Członek Komisji ds. Prewencji Narkomanii i Alkoholizmu</w:t>
                  </w:r>
                  <w:r w:rsidR="00EC2FDC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;</w:t>
                  </w:r>
                </w:p>
                <w:p w:rsidR="009D7420" w:rsidRPr="0076561D" w:rsidRDefault="00590EFE" w:rsidP="0076561D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lt-LT"/>
                    </w:rPr>
                  </w:pPr>
                  <w:r w:rsidRPr="0076561D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Członek Komisji ds. Światowej Wspólnoty Litwinów Sejmu Republiki Litewskiej</w:t>
                  </w:r>
                  <w:r w:rsidR="00EC2FDC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;</w:t>
                  </w:r>
                  <w:r w:rsidRPr="0076561D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 </w:t>
                  </w:r>
                </w:p>
              </w:tc>
            </w:tr>
          </w:tbl>
          <w:p w:rsidR="0076561D" w:rsidRPr="0076561D" w:rsidRDefault="00590EFE" w:rsidP="0076561D">
            <w:pPr>
              <w:spacing w:after="0" w:line="360" w:lineRule="auto"/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6561D"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Wiceprzewodnicząca </w:t>
            </w:r>
            <w:proofErr w:type="spellStart"/>
            <w:r w:rsidR="002804C6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Litewsko</w:t>
            </w:r>
            <w:r w:rsidR="00EC2F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</w:t>
            </w:r>
            <w:r w:rsidR="002804C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polskiego</w:t>
            </w:r>
            <w:proofErr w:type="spellEnd"/>
            <w:r w:rsidR="0076561D"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420" w:rsidRDefault="002804C6" w:rsidP="007656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76561D" w:rsidRPr="0076561D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Zgromadzenia</w:t>
            </w:r>
            <w:proofErr w:type="spellEnd"/>
            <w:r w:rsidR="0076561D"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61D"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Parlamentarnego</w:t>
            </w:r>
            <w:proofErr w:type="spellEnd"/>
            <w:r w:rsidR="00EC2F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="0076561D"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76561D" w:rsidRPr="0076561D" w:rsidRDefault="0076561D" w:rsidP="007656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9D7420"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9525" distL="0" distR="9525" wp14:anchorId="00177F33" wp14:editId="20776E31">
                  <wp:extent cx="1285875" cy="1933575"/>
                  <wp:effectExtent l="0" t="0" r="0" b="0"/>
                  <wp:docPr id="3" name="Paveikslėlis 11" descr="http://www3.lrs.lt/home/seimo_nariu_nuotraukos/2012/vanda_kravcio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11" descr="http://www3.lrs.lt/home/seimo_nariu_nuotraukos/2012/vanda_kravcio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WANDA KRAWCZONOK</w:t>
            </w:r>
          </w:p>
          <w:p w:rsidR="009D7420" w:rsidRDefault="009D742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 w:rsidP="00EC2FDC">
            <w:pPr>
              <w:spacing w:after="0" w:line="360" w:lineRule="auto"/>
              <w:jc w:val="both"/>
              <w:rPr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Wicestarosta sejmowej Frakcji AWPL-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ZChR</w:t>
            </w:r>
            <w:proofErr w:type="spellEnd"/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9D7420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 Komitetu ds. Zarządzania Państwem i Samorządów</w:t>
            </w:r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76561D" w:rsidRDefault="00590EFE" w:rsidP="00EC2FDC">
            <w:pPr>
              <w:spacing w:after="0" w:line="360" w:lineRule="auto"/>
              <w:jc w:val="both"/>
              <w:rPr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Członek Komisji </w:t>
            </w:r>
            <w:proofErr w:type="spellStart"/>
            <w:r>
              <w:rPr>
                <w:rFonts w:ascii="Times New Roman" w:hAnsi="Times New Roman" w:cs="Times New Roman"/>
                <w:lang w:val="pl-PL"/>
              </w:rPr>
              <w:t>Antykorupcji</w:t>
            </w:r>
            <w:proofErr w:type="spellEnd"/>
            <w:r w:rsidR="00EC2FDC">
              <w:rPr>
                <w:rFonts w:ascii="Times New Roman" w:hAnsi="Times New Roman" w:cs="Times New Roman"/>
                <w:lang w:val="pl-PL"/>
              </w:rPr>
              <w:t>;</w:t>
            </w:r>
          </w:p>
          <w:p w:rsidR="002804C6" w:rsidRPr="0076561D" w:rsidRDefault="00EC2FDC" w:rsidP="002804C6">
            <w:pPr>
              <w:spacing w:after="0" w:line="360" w:lineRule="auto"/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 w:rsidRP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</w:t>
            </w:r>
            <w:r>
              <w:rPr>
                <w:lang w:val="pl-PL"/>
              </w:rPr>
              <w:t xml:space="preserve"> </w:t>
            </w:r>
            <w:proofErr w:type="spellStart"/>
            <w:r w:rsidR="002804C6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Litewsko</w:t>
            </w:r>
            <w:r w:rsidR="002804C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-polskiego</w:t>
            </w:r>
            <w:proofErr w:type="spellEnd"/>
            <w:r w:rsidR="002804C6"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FDC" w:rsidRPr="002804C6" w:rsidRDefault="002804C6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6561D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Zgromadzenia</w:t>
            </w:r>
            <w:proofErr w:type="spellEnd"/>
            <w:r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Parlamentarnego</w:t>
            </w:r>
            <w:proofErr w:type="spellEnd"/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9D7420"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   </w:t>
            </w: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9525" wp14:anchorId="20CB1D27" wp14:editId="2B2A2FFE">
                  <wp:extent cx="1285875" cy="1714500"/>
                  <wp:effectExtent l="0" t="0" r="0" b="0"/>
                  <wp:docPr id="4" name="Paveikslėlis 1" descr="http://www3.lrs.lt/home/seimo_nariu_nuotraukos/2012/irina_roz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1" descr="http://www3.lrs.lt/home/seimo_nariu_nuotraukos/2012/irina_roz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        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561D" w:rsidRDefault="00765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lt-LT"/>
              </w:rPr>
              <w:t>IRINA ROZOVA</w:t>
            </w:r>
          </w:p>
          <w:p w:rsidR="009D7420" w:rsidRDefault="009D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lastRenderedPageBreak/>
              <w:t>Członek Frakcji AWPL-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ZChR</w:t>
            </w:r>
            <w:proofErr w:type="spellEnd"/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Członek Komitetu Zdrowia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Członek Komisji ds. Morskich i Rybołówstwa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.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9D7420"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9525" wp14:anchorId="0C80006A" wp14:editId="259C8D85">
                  <wp:extent cx="1285875" cy="1924050"/>
                  <wp:effectExtent l="0" t="0" r="0" b="0"/>
                  <wp:docPr id="5" name="Paveikslėlis 14" descr="http://www3.lrs.lt/home/seimo_nariu_nuotraukos/2012/jaroslav_narkev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veikslėlis 14" descr="http://www3.lrs.lt/home/seimo_nariu_nuotraukos/2012/jaroslav_narkev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lt-LT"/>
              </w:rPr>
              <w:t>JAROSŁAW NARKEWICZ</w:t>
            </w:r>
          </w:p>
          <w:p w:rsidR="009D7420" w:rsidRDefault="009D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lt-LT"/>
              </w:rPr>
            </w:pP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 xml:space="preserve">Członek Frakcji AWPL-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ZChR</w:t>
            </w:r>
            <w:proofErr w:type="spellEnd"/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Wiceprzewodniczący Sejmu Republiki Litewskiej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Członek Komitetu ds. Oświaty, Nauki i Kultury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Członek Komitetu ds. Europejskich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76561D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Członek Komisji ds. Młodzieży i Sportu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76561D" w:rsidRDefault="0076561D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Członek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4C6">
              <w:rPr>
                <w:rFonts w:ascii="Times New Roman" w:hAnsi="Times New Roman" w:cs="Times New Roman"/>
                <w:sz w:val="24"/>
                <w:szCs w:val="24"/>
              </w:rPr>
              <w:t>Członek</w:t>
            </w:r>
            <w:proofErr w:type="spellEnd"/>
            <w:r w:rsidR="0028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4C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804C6" w:rsidRPr="0076561D">
              <w:rPr>
                <w:rFonts w:ascii="Times New Roman" w:hAnsi="Times New Roman" w:cs="Times New Roman"/>
                <w:sz w:val="24"/>
                <w:szCs w:val="24"/>
              </w:rPr>
              <w:t>itewsko-</w:t>
            </w:r>
            <w:r w:rsidR="002804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04C6" w:rsidRPr="0076561D">
              <w:rPr>
                <w:rFonts w:ascii="Times New Roman" w:hAnsi="Times New Roman" w:cs="Times New Roman"/>
                <w:sz w:val="24"/>
                <w:szCs w:val="24"/>
              </w:rPr>
              <w:t>olsko-ukraińskie</w:t>
            </w:r>
            <w:r w:rsidR="002804C6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="0028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4C6">
              <w:rPr>
                <w:rFonts w:ascii="Times New Roman" w:hAnsi="Times New Roman" w:cs="Times New Roman"/>
                <w:sz w:val="24"/>
                <w:szCs w:val="24"/>
              </w:rPr>
              <w:t>Zgromadzenia</w:t>
            </w:r>
            <w:proofErr w:type="spellEnd"/>
            <w:r w:rsidR="002804C6" w:rsidRPr="00765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4C6" w:rsidRPr="0076561D">
              <w:rPr>
                <w:rFonts w:ascii="Times New Roman" w:hAnsi="Times New Roman" w:cs="Times New Roman"/>
                <w:sz w:val="24"/>
                <w:szCs w:val="24"/>
              </w:rPr>
              <w:t>Parlamentarne</w:t>
            </w:r>
            <w:r w:rsidR="002804C6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="00280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9D7420">
        <w:tc>
          <w:tcPr>
            <w:tcW w:w="4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9525" distL="0" distR="9525" wp14:anchorId="01EDE4D6" wp14:editId="1E709E17">
                  <wp:extent cx="1285875" cy="1933575"/>
                  <wp:effectExtent l="0" t="0" r="0" b="0"/>
                  <wp:docPr id="6" name="Paveikslėlis 15" descr="http://www3.lrs.lt/home/seimo_nariu_nuotraukos/2012/leonard_talm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15" descr="http://www3.lrs.lt/home/seimo_nariu_nuotraukos/2012/leonard_talm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LEONARD TALMONT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Pr="00EC2FDC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 xml:space="preserve">Członek Frakcji AWPL-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ZChR</w:t>
            </w:r>
            <w:proofErr w:type="spellEnd"/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Członek Komitetu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Człowieka</w:t>
            </w:r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 </w:t>
            </w:r>
          </w:p>
          <w:p w:rsidR="0076561D" w:rsidRPr="00EC2FDC" w:rsidRDefault="00590EFE" w:rsidP="00EC2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Przewodniczący Komisji Etyki i Procedur</w:t>
            </w:r>
            <w:r w:rsidR="00EC2FD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;</w:t>
            </w:r>
          </w:p>
          <w:p w:rsidR="009D7420" w:rsidRPr="0076561D" w:rsidRDefault="0076561D" w:rsidP="002804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Członek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4C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804C6" w:rsidRPr="0076561D">
              <w:rPr>
                <w:rFonts w:ascii="Times New Roman" w:hAnsi="Times New Roman" w:cs="Times New Roman"/>
                <w:sz w:val="24"/>
                <w:szCs w:val="24"/>
              </w:rPr>
              <w:t>itewsko-</w:t>
            </w:r>
            <w:r w:rsidR="002804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6561D">
              <w:rPr>
                <w:rFonts w:ascii="Times New Roman" w:hAnsi="Times New Roman" w:cs="Times New Roman"/>
                <w:sz w:val="24"/>
                <w:szCs w:val="24"/>
              </w:rPr>
              <w:t>olsko-ukraińskie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Zgromadzenia</w:t>
            </w:r>
            <w:proofErr w:type="spellEnd"/>
            <w:r w:rsidRPr="00765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61D">
              <w:rPr>
                <w:rFonts w:ascii="Times New Roman" w:hAnsi="Times New Roman" w:cs="Times New Roman"/>
                <w:sz w:val="24"/>
                <w:szCs w:val="24"/>
              </w:rPr>
              <w:t>Parlamentarne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="00EC2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7420" w:rsidRDefault="009D742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D7420" w:rsidRDefault="009D742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Lentelstinklelis"/>
        <w:tblW w:w="9242" w:type="dxa"/>
        <w:tblLook w:val="04A0" w:firstRow="1" w:lastRow="0" w:firstColumn="1" w:lastColumn="0" w:noHBand="0" w:noVBand="1"/>
      </w:tblPr>
      <w:tblGrid>
        <w:gridCol w:w="4622"/>
        <w:gridCol w:w="4620"/>
      </w:tblGrid>
      <w:tr w:rsidR="009D7420">
        <w:tc>
          <w:tcPr>
            <w:tcW w:w="4621" w:type="dxa"/>
            <w:shd w:val="clear" w:color="auto" w:fill="auto"/>
            <w:tcMar>
              <w:left w:w="108" w:type="dxa"/>
            </w:tcMar>
          </w:tcPr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9525" distL="0" distR="9525" wp14:anchorId="616DA29C" wp14:editId="46042BBD">
                  <wp:extent cx="1285875" cy="1933575"/>
                  <wp:effectExtent l="0" t="0" r="0" b="0"/>
                  <wp:docPr id="7" name="Paveikslėlis 2" descr="http://www3.lrs.lt/home/seimo_nariu_nuotraukos/2012/zbignev_jedin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2" descr="http://www3.lrs.lt/home/seimo_nariu_nuotraukos/2012/zbignev_jedin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ZBIGNIEW JEDZIŃSKI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Pr="00EC2FDC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 Frakcji AWPL-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ZChR</w:t>
            </w:r>
            <w:proofErr w:type="spellEnd"/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9D7420" w:rsidRPr="00EC2FDC" w:rsidRDefault="00831A38" w:rsidP="00EC2FDC">
            <w:pPr>
              <w:spacing w:after="0" w:line="360" w:lineRule="auto"/>
              <w:jc w:val="both"/>
            </w:pPr>
            <w:hyperlink r:id="rId18">
              <w:r w:rsidR="00590EFE">
                <w:rPr>
                  <w:rStyle w:val="InternetLink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  <w:lang w:val="pl-PL"/>
                </w:rPr>
                <w:t>Członek Komitetu Ekonomiki</w:t>
              </w:r>
            </w:hyperlink>
            <w:r w:rsidR="00EC2FDC">
              <w:rPr>
                <w:rStyle w:val="InternetLink"/>
                <w:rFonts w:ascii="Times New Roman" w:hAnsi="Times New Roman" w:cs="Times New Roman"/>
                <w:color w:val="00000A"/>
                <w:sz w:val="24"/>
                <w:szCs w:val="24"/>
                <w:u w:val="none"/>
                <w:lang w:val="pl-PL"/>
              </w:rPr>
              <w:t>;</w:t>
            </w:r>
          </w:p>
          <w:p w:rsidR="009D7420" w:rsidRPr="00EC2FDC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Członek Komisji Energetyki</w:t>
            </w:r>
            <w:r w:rsidR="00EC2FDC">
              <w:rPr>
                <w:rFonts w:ascii="Times New Roman" w:hAnsi="Times New Roman" w:cs="Times New Roman"/>
                <w:lang w:val="pl-PL"/>
              </w:rPr>
              <w:t>;</w:t>
            </w:r>
          </w:p>
          <w:p w:rsidR="009D7420" w:rsidRDefault="00EC2FDC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Członek Ko</w:t>
            </w:r>
            <w:r w:rsidR="00590EFE">
              <w:rPr>
                <w:rFonts w:ascii="Times New Roman" w:hAnsi="Times New Roman" w:cs="Times New Roman"/>
                <w:lang w:val="pl-PL"/>
              </w:rPr>
              <w:t>misji Konstytucyjnej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  <w:p w:rsidR="00EC2FDC" w:rsidRDefault="00EC2FDC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Członek Zgromadzenia Krajów Bałtyckich.</w:t>
            </w:r>
          </w:p>
          <w:p w:rsidR="009D7420" w:rsidRDefault="009D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D7420">
        <w:tc>
          <w:tcPr>
            <w:tcW w:w="4621" w:type="dxa"/>
            <w:shd w:val="clear" w:color="auto" w:fill="auto"/>
            <w:tcMar>
              <w:left w:w="108" w:type="dxa"/>
            </w:tcMar>
          </w:tcPr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</w:t>
            </w: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9525" distL="0" distR="9525" wp14:anchorId="290ECF2C" wp14:editId="382E98D6">
                  <wp:extent cx="1285875" cy="1933575"/>
                  <wp:effectExtent l="0" t="0" r="0" b="0"/>
                  <wp:docPr id="8" name="Paveikslėlis 20" descr="http://www3.lrs.lt/home/seimo_nariu_nuotraukos/2012/michal_mackev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20" descr="http://www3.lrs.lt/home/seimo_nariu_nuotraukos/2012/michal_mackev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MICHAŁ MACKIEWICZ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Członek Frakcji AWPL-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ZChR</w:t>
            </w:r>
            <w:proofErr w:type="spellEnd"/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9D7420" w:rsidRPr="00EC2FDC" w:rsidRDefault="00590EFE" w:rsidP="00EC2FDC">
            <w:pPr>
              <w:spacing w:after="0" w:line="360" w:lineRule="auto"/>
              <w:rPr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Wiceprzewodniczący Komitetu ds. Bezpieczeństwa Narodowego i Obrony</w:t>
            </w:r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9D7420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 Komisji Kontroli Parlamentarnej nad Wywiadem Kryminalnym</w:t>
            </w:r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2804C6" w:rsidRPr="0076561D" w:rsidRDefault="00EC2FDC" w:rsidP="002804C6">
            <w:pPr>
              <w:spacing w:after="0" w:line="360" w:lineRule="auto"/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 w:rsidRP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</w:t>
            </w:r>
            <w:r>
              <w:rPr>
                <w:lang w:val="pl-PL"/>
              </w:rPr>
              <w:t xml:space="preserve"> </w:t>
            </w:r>
            <w:proofErr w:type="spellStart"/>
            <w:r w:rsidR="002804C6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Litewsko</w:t>
            </w:r>
            <w:r w:rsidR="002804C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-polskiego</w:t>
            </w:r>
            <w:proofErr w:type="spellEnd"/>
            <w:r w:rsidR="002804C6"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4C6" w:rsidRDefault="002804C6" w:rsidP="002804C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6561D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Zgromadzenia</w:t>
            </w:r>
            <w:proofErr w:type="spellEnd"/>
            <w:r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Parlamentarnego</w:t>
            </w:r>
            <w:proofErr w:type="spellEnd"/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EC2FDC" w:rsidRDefault="00EC2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D7420">
        <w:tc>
          <w:tcPr>
            <w:tcW w:w="4621" w:type="dxa"/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ind w:firstLine="12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9525" distL="0" distR="9525" wp14:anchorId="6EAA1904" wp14:editId="0E8E8F0A">
                  <wp:extent cx="1285875" cy="1933575"/>
                  <wp:effectExtent l="0" t="0" r="0" b="0"/>
                  <wp:docPr id="9" name="Paveikslėlis 21" descr="http://www3.lrs.lt/home/seimo_nariu_nuotraukos/2012/juzef_kvetkov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21" descr="http://www3.lrs.lt/home/seimo_nariu_nuotraukos/2012/juzef_kvetkov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420" w:rsidRDefault="009D7420">
            <w:pPr>
              <w:spacing w:after="0" w:line="240" w:lineRule="auto"/>
              <w:ind w:firstLine="129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D7420" w:rsidRDefault="0059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JÓZEF KWIATKOWSKI</w:t>
            </w:r>
          </w:p>
          <w:p w:rsidR="009D7420" w:rsidRDefault="009D7420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9D7420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Członek Frakcji AWPL-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ZChR</w:t>
            </w:r>
            <w:proofErr w:type="spellEnd"/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9D7420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Członek Komitetu ds. </w:t>
            </w:r>
          </w:p>
          <w:p w:rsidR="00EC2FDC" w:rsidRDefault="00EC2FDC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Socjalnych i Pracy;</w:t>
            </w:r>
          </w:p>
          <w:p w:rsidR="009D7420" w:rsidRDefault="00590EFE" w:rsidP="00EC2F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 Komisji ds. Petycji</w:t>
            </w:r>
            <w:r w:rsid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:rsidR="002804C6" w:rsidRPr="0076561D" w:rsidRDefault="00EC2FDC" w:rsidP="002804C6">
            <w:pPr>
              <w:spacing w:after="0" w:line="360" w:lineRule="auto"/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 w:rsidRPr="00EC2F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Członek</w:t>
            </w:r>
            <w:r>
              <w:rPr>
                <w:lang w:val="pl-PL"/>
              </w:rPr>
              <w:t xml:space="preserve"> </w:t>
            </w:r>
            <w:proofErr w:type="spellStart"/>
            <w:r w:rsidR="002804C6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Litewsko</w:t>
            </w:r>
            <w:r w:rsidR="002804C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-polskiego</w:t>
            </w:r>
            <w:proofErr w:type="spellEnd"/>
            <w:r w:rsidR="002804C6"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4C6" w:rsidRDefault="002804C6" w:rsidP="002804C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6561D">
              <w:rPr>
                <w:rStyle w:val="Emfaz"/>
                <w:rFonts w:ascii="Times New Roman" w:hAnsi="Times New Roman" w:cs="Times New Roman"/>
                <w:i w:val="0"/>
                <w:sz w:val="24"/>
                <w:szCs w:val="24"/>
              </w:rPr>
              <w:t>Zgromadzenia</w:t>
            </w:r>
            <w:proofErr w:type="spellEnd"/>
            <w:r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61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Parlamentarnego</w:t>
            </w:r>
            <w:proofErr w:type="spellEnd"/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561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9D7420" w:rsidRDefault="009D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9D7420" w:rsidRDefault="009D742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89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881"/>
      </w:tblGrid>
      <w:tr w:rsidR="009D7420">
        <w:trPr>
          <w:trHeight w:hRule="exact" w:val="23"/>
        </w:trPr>
        <w:tc>
          <w:tcPr>
            <w:tcW w:w="95" w:type="dxa"/>
            <w:shd w:val="clear" w:color="auto" w:fill="auto"/>
            <w:vAlign w:val="center"/>
          </w:tcPr>
          <w:p w:rsidR="009D7420" w:rsidRDefault="009D7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880" w:type="dxa"/>
            <w:shd w:val="clear" w:color="auto" w:fill="auto"/>
            <w:vAlign w:val="center"/>
          </w:tcPr>
          <w:p w:rsidR="009D7420" w:rsidRDefault="009D7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D7420">
        <w:trPr>
          <w:trHeight w:val="35"/>
        </w:trPr>
        <w:tc>
          <w:tcPr>
            <w:tcW w:w="95" w:type="dxa"/>
            <w:shd w:val="clear" w:color="auto" w:fill="auto"/>
            <w:vAlign w:val="center"/>
          </w:tcPr>
          <w:p w:rsidR="009D7420" w:rsidRDefault="009D7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880" w:type="dxa"/>
            <w:shd w:val="clear" w:color="auto" w:fill="auto"/>
            <w:vAlign w:val="center"/>
          </w:tcPr>
          <w:p w:rsidR="009D7420" w:rsidRDefault="009D7420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3469A4" w:rsidRDefault="00590EFE" w:rsidP="003469A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Frakcja AWPL na początku kadencji 2012-2016 </w:t>
      </w:r>
      <w:r w:rsidR="00C71375">
        <w:rPr>
          <w:rFonts w:ascii="Times New Roman" w:hAnsi="Times New Roman" w:cs="Times New Roman"/>
          <w:sz w:val="24"/>
          <w:szCs w:val="24"/>
          <w:lang w:val="pl-PL"/>
        </w:rPr>
        <w:t>należała do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Koalicji rządzącej. Na mocy umowy koalicyjnej Frakcja AWPL wydelegowała </w:t>
      </w:r>
      <w:r w:rsidR="00C71375">
        <w:rPr>
          <w:rFonts w:ascii="Times New Roman" w:hAnsi="Times New Roman" w:cs="Times New Roman"/>
          <w:sz w:val="24"/>
          <w:szCs w:val="24"/>
          <w:lang w:val="pl-PL"/>
        </w:rPr>
        <w:t>posła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Jarosława Narkiewicza na stanowisko wiceprzewodniczącego Sejmu, poseł Leonard Talmont objął stanowisko przewodniczącego Komitetu Praw Człowieka, poseł Michał M</w:t>
      </w:r>
      <w:r w:rsidR="00C71375">
        <w:rPr>
          <w:rFonts w:ascii="Times New Roman" w:hAnsi="Times New Roman" w:cs="Times New Roman"/>
          <w:sz w:val="24"/>
          <w:szCs w:val="24"/>
          <w:lang w:val="pl-PL"/>
        </w:rPr>
        <w:t xml:space="preserve">ackiewicz- wiceprzewodniczącego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Komitetu ds. Bezpieczeństwa Narodowego i Obrony.   </w:t>
      </w:r>
      <w:r w:rsidR="003469A4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Przedstawiciele AWPL zostali również wydelegowani na stanowisko Ministra Energetyki, wiceministrów Kultury, Rolnictwa, Energetyki, Łączności oraz Oświaty i Nauki. </w:t>
      </w:r>
    </w:p>
    <w:p w:rsidR="003469A4" w:rsidRPr="00C71375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Frakcja AWPL pozostaje wierna wartościom demokratycznym i chrześcijańskim, zasadom polityki partii budowanej na fundamencie przejrzystości, uczciwości, równouprawnienia i sprawiedliwości społecznej oraz założeniom programu wyborczego. Dlatego 10 września 2014 r. na znak sprzeciwu wobec powiązań biznesowo-finansowych często o charakterze korupcyjnym w strukturach władz państwowych </w:t>
      </w:r>
      <w:r w:rsidRPr="00C71375">
        <w:rPr>
          <w:rFonts w:ascii="Times New Roman" w:hAnsi="Times New Roman" w:cs="Times New Roman"/>
          <w:sz w:val="24"/>
          <w:szCs w:val="24"/>
          <w:lang w:val="pl-PL"/>
        </w:rPr>
        <w:t>oraz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ich wpływów, dyktatu największego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koalicjanta – Partii Socjaldemokratycznej i braku realizacji programu rządu, wyszła z rządzącej koalicji czterech partii i ogłosiła się frakcją </w:t>
      </w:r>
      <w:proofErr w:type="gramStart"/>
      <w:r w:rsidRPr="00C71375">
        <w:rPr>
          <w:rFonts w:ascii="Times New Roman" w:hAnsi="Times New Roman" w:cs="Times New Roman"/>
          <w:sz w:val="24"/>
          <w:szCs w:val="24"/>
          <w:lang w:val="pl-PL"/>
        </w:rPr>
        <w:t>nie należącą</w:t>
      </w:r>
      <w:proofErr w:type="gramEnd"/>
      <w:r w:rsidRPr="00C71375">
        <w:rPr>
          <w:rFonts w:ascii="Times New Roman" w:hAnsi="Times New Roman" w:cs="Times New Roman"/>
          <w:sz w:val="24"/>
          <w:szCs w:val="24"/>
          <w:lang w:val="pl-PL"/>
        </w:rPr>
        <w:t xml:space="preserve"> do koalicji rządzącej.   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Frakcja AWPL przez cały okres trwania kadencji Sejmu pracowała w tym samym składzie. Spośród innych frakcji wyróżnia ją odpowiedzialność polityczna, twarde stanowisko oraz jednomyślne decyzje, które znalazły wyraz podczas głosowań w kwestiach aktualnych dla społeczeństwa.  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10 maja 2016 r. Frakcja AWPL uzupełniła nazwę i stała się Frakcją Akcji Wyborczej Polaków na Litwie- Związku Chrześcijańskich Rodzin. 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 8 lipca w Sejmie odbyło się 9 zwyczajnych sesji plenarnych i dwie nadzwyczajne, 427 posiedzeń Sejmu.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 8 lipca odbyło się 177 posiedzeń Frakcji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Członkowie naszej Frakcji najaktywniej ze wszystkich frakcji uczestniczyli w posiedzeniach Sejmu i głosowaniach - aktywność Frakcji na podstawie tych wskaźników osiągnęła 61 proc. Aktywność innych frakcji wyniosła 40-50 proc. Członkowie Frakcji samodzielnie lub wspólnie z innymi posłami zgłosili 445 projektów ustaw, 788 razy zabierali głos na posiedzeniach plenarnych.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Członkowie Frakcji aktywnie uczestniczyli w pracach komitetów sejmowych, komisji, zgromadzeń parlamentarnych i tymczasowych komisji, które zazwyczaj są powoływane na czas określony i do rozstrzygnięcia najbardziej w tym czasie aktualnych i wywołujących największy wydźwięk w społeczeństwie kwestii.     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 8 lipca bieżącego roku Frakcja AWPL –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zwołała 30 konferencji prasowych, dotyczących różnych zagadnień i aktualności politycznych.</w:t>
      </w:r>
    </w:p>
    <w:p w:rsidR="003469A4" w:rsidRDefault="003469A4" w:rsidP="003469A4">
      <w:pPr>
        <w:tabs>
          <w:tab w:val="left" w:pos="1695"/>
        </w:tabs>
        <w:spacing w:after="0" w:line="360" w:lineRule="auto"/>
        <w:ind w:firstLine="129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3469A4" w:rsidRDefault="003469A4" w:rsidP="003469A4">
      <w:pPr>
        <w:spacing w:after="0" w:line="360" w:lineRule="auto"/>
        <w:jc w:val="center"/>
        <w:rPr>
          <w:rStyle w:val="Emfaz"/>
          <w:rFonts w:ascii="Times New Roman" w:hAnsi="Times New Roman" w:cs="Times New Roman"/>
          <w:b/>
          <w:i w:val="0"/>
          <w:iCs w:val="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II.  WYKONANIE PROGRAMU WYBORCZEGO</w:t>
      </w:r>
    </w:p>
    <w:p w:rsidR="003469A4" w:rsidRDefault="003469A4" w:rsidP="003469A4">
      <w:pPr>
        <w:spacing w:after="0" w:line="360" w:lineRule="auto"/>
        <w:ind w:firstLine="1296"/>
        <w:jc w:val="both"/>
      </w:pP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Założenia programu wyborczego AWPL, przyjętego przez delegatów na konferencji AWPL 28 sierpnia 2012 roku, po wyborach stały się planem pracy Frakcji AWPL – </w:t>
      </w:r>
      <w:proofErr w:type="spell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ZChR</w:t>
      </w:r>
      <w:proofErr w:type="spell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 na czteroletnią kadencję Sejmu. Frakcja AWPL-</w:t>
      </w:r>
      <w:proofErr w:type="spell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ZChR</w:t>
      </w:r>
      <w:proofErr w:type="spell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 konsekwentnie </w:t>
      </w: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lastRenderedPageBreak/>
        <w:t xml:space="preserve">trzymała się swego programu, większość założeń znalazła swoje odzwierciedlenie w programie XVI Rządu na lata 2012-2016, zatwierdzonego przez Sejm, do </w:t>
      </w:r>
      <w:proofErr w:type="gram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realizacji którego</w:t>
      </w:r>
      <w:proofErr w:type="gram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 zobowiązała się większość parlamentarna. Niestety, rząd nadal nie realizuje swojego programu, co po raz kolejny potwierdza słuszność decyzji AWPL o wyjściu z koalicji.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</w:p>
    <w:p w:rsidR="003469A4" w:rsidRDefault="003469A4" w:rsidP="003469A4">
      <w:pPr>
        <w:spacing w:after="0" w:line="360" w:lineRule="auto"/>
        <w:ind w:firstLine="1296"/>
        <w:jc w:val="both"/>
        <w:rPr>
          <w:rStyle w:val="Emfaz"/>
          <w:lang w:val="pl-PL"/>
        </w:rPr>
      </w:pPr>
    </w:p>
    <w:p w:rsidR="003469A4" w:rsidRDefault="003469A4" w:rsidP="003469A4">
      <w:pPr>
        <w:spacing w:after="0" w:line="360" w:lineRule="auto"/>
        <w:jc w:val="center"/>
        <w:rPr>
          <w:rStyle w:val="Emfaz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mfaz"/>
          <w:rFonts w:ascii="Times New Roman" w:hAnsi="Times New Roman" w:cs="Times New Roman"/>
          <w:b/>
          <w:i w:val="0"/>
          <w:sz w:val="24"/>
          <w:szCs w:val="24"/>
          <w:lang w:val="pl-PL"/>
        </w:rPr>
        <w:t>ZARZĄDZANIE PAŃSTWEM</w:t>
      </w:r>
    </w:p>
    <w:p w:rsidR="003469A4" w:rsidRDefault="003469A4" w:rsidP="003469A4">
      <w:pPr>
        <w:spacing w:after="0" w:line="360" w:lineRule="auto"/>
        <w:ind w:firstLine="1296"/>
        <w:jc w:val="both"/>
      </w:pP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Dobrobyt, poziom życia i bezpieczeństwo obywateli są wynikiem skutecznego, uczciwego i sprawiedliwego zarządzania państwem.     </w:t>
      </w:r>
    </w:p>
    <w:p w:rsidR="003469A4" w:rsidRDefault="003469A4" w:rsidP="003469A4">
      <w:pPr>
        <w:spacing w:after="0" w:line="360" w:lineRule="auto"/>
        <w:ind w:firstLine="1296"/>
        <w:jc w:val="both"/>
      </w:pP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Członkowie frakcji AWPL- </w:t>
      </w:r>
      <w:proofErr w:type="spell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ZChR</w:t>
      </w:r>
      <w:proofErr w:type="spell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 wspólnie z innymi posłami w 2014 roku zgłosili projekt poprawki do artykułu 55 Konstytucji Litwy, który przewiduje zmniejszenie liczby posłów z 141 do 101. Liczba parlamentarzystów byłaby wówczas proporcjonalna do ilości wyborców, a także pozwoliłaby na oszczędność środków budżetowych. Wiosną 2015 roku, gdy projekt trafił pod obrady Sejmu posłowie Frakcji jednogłośnie poparli ten </w:t>
      </w:r>
      <w:proofErr w:type="gram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projekt,  został</w:t>
      </w:r>
      <w:proofErr w:type="gram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 on jednak odrzucony przez większość sejmową.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21 listopada 2013 roku Frakcja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jako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jedyna ze wszystkich frakcji parlamentarnych jednogłośnie zagłosowała przeciwko poprawce do Ustawy o Wynagrodzeniu Polityków i Urzędników Państwowych, przewidującej zwiększenie płacy zarobkowej dla parlamentarzystów.  </w:t>
      </w:r>
    </w:p>
    <w:p w:rsidR="003469A4" w:rsidRPr="00831A38" w:rsidRDefault="003469A4" w:rsidP="00831A38">
      <w:pPr>
        <w:spacing w:after="0" w:line="360" w:lineRule="auto"/>
        <w:ind w:firstLine="1296"/>
        <w:jc w:val="both"/>
        <w:rPr>
          <w:rStyle w:val="Emfaz"/>
          <w:i w:val="0"/>
          <w:iCs w:val="0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Wszyscy mieszkańcy nie wyłączając nawet najmniejszych wspólnot powinni mieć swoich przedstawicieli. W oparciu o już istniejące w krajach demokratycznych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wzorce,  frakcja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AWPL-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przygotowuje poprawkę do Ustawy o Samorządzie Terytorialnym, przewidującą utworzenie drugiego szczebla samorządności terytorialnej. </w:t>
      </w:r>
      <w:r w:rsidRPr="003935FF">
        <w:rPr>
          <w:rFonts w:ascii="Times New Roman" w:hAnsi="Times New Roman" w:cs="Times New Roman"/>
          <w:sz w:val="24"/>
          <w:szCs w:val="24"/>
          <w:lang w:val="pl-PL"/>
        </w:rPr>
        <w:t xml:space="preserve">Poprawka do Ustawy wprowadza wybory powszechne do rad starostw, które odbywałyby </w:t>
      </w:r>
      <w:proofErr w:type="gramStart"/>
      <w:r w:rsidRPr="003935FF">
        <w:rPr>
          <w:rFonts w:ascii="Times New Roman" w:hAnsi="Times New Roman" w:cs="Times New Roman"/>
          <w:sz w:val="24"/>
          <w:szCs w:val="24"/>
          <w:lang w:val="pl-PL"/>
        </w:rPr>
        <w:t>się co</w:t>
      </w:r>
      <w:proofErr w:type="gramEnd"/>
      <w:r w:rsidRPr="003935FF">
        <w:rPr>
          <w:rFonts w:ascii="Times New Roman" w:hAnsi="Times New Roman" w:cs="Times New Roman"/>
          <w:sz w:val="24"/>
          <w:szCs w:val="24"/>
          <w:lang w:val="pl-PL"/>
        </w:rPr>
        <w:t xml:space="preserve"> cztery lata.    </w:t>
      </w:r>
    </w:p>
    <w:p w:rsidR="003469A4" w:rsidRDefault="003469A4" w:rsidP="003469A4">
      <w:pPr>
        <w:spacing w:after="0" w:line="360" w:lineRule="auto"/>
        <w:jc w:val="center"/>
        <w:rPr>
          <w:rStyle w:val="Emfaz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mfaz"/>
          <w:rFonts w:ascii="Times New Roman" w:hAnsi="Times New Roman" w:cs="Times New Roman"/>
          <w:b/>
          <w:i w:val="0"/>
          <w:sz w:val="24"/>
          <w:szCs w:val="24"/>
          <w:lang w:val="pl-PL"/>
        </w:rPr>
        <w:t>SYSTEM PODATKOWY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System podatkowy powinien służyć budowaniu dobrobytu społeczeństwa. Dlatego też system podatkowy powinien w pierwszej kolejności opierać się na sprawiedliwości społecznej: największe obciążenie podatkowe powinno dotyczyć najbogatszych.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Głównie dlatego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, iż duża różnica w dochodach negatywnie wpływa na wizerunek społeczeństwa, gdyż ze społecznego punktu widzenia jeden przejedzony, a inny głodujący to zawsze gorzej niż dwaj syci obywatele.   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Frakcja stale podkreśla wagę zasady skuteczniejszego podziału środków przy sporządzaniu budżetu państwa, dąży do zwiększania budżetu samorządów na świadczenie usług publicznych mieszkańcom.</w:t>
      </w:r>
    </w:p>
    <w:p w:rsidR="003469A4" w:rsidRDefault="003469A4" w:rsidP="003469A4">
      <w:pPr>
        <w:spacing w:after="0" w:line="360" w:lineRule="auto"/>
        <w:ind w:firstLine="1296"/>
        <w:jc w:val="both"/>
      </w:pP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lastRenderedPageBreak/>
        <w:t xml:space="preserve">Członkowie frakcji AWPL w 2013 roku zgłosili poprawkę do Ustawy o Podatku VAT, przewidującą obniżenie podatku VAT na usługi hotelarskie z 21 do 9 proc., sprzyjającą tworzeniu nowych miejsc pracy i konkurencyjności regionu. Sejm poprawkę przyjął.   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2013 roku posłowie Frakcji zgłosili poprawkę, przewidującą zwiększenie finansowania z 20 do 30 proc. na budowę i utrzymanie dróg o znaczeniu lokalnym. Sejm przyjął poprawkę w grudniu 2013 roku i już od 2014 roku przeznaczono więcej środków na lokalną infrastrukturę. 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Latem 2015 roku Frakcja zgłosiła kolejną poprawkę do Ustawy o Podatku VAT, przewidującą ulgowy 5-procentowy podatek VAT na najbardziej niezbędne, podstawowe produkty żywnościowe. Przyjęcie poprawki spowodowałoby obniżenie cen produktów żywnościowych pierwszej potrzeby (mleka, chleba, mięsa, ryby </w:t>
      </w:r>
      <w:proofErr w:type="gram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i  in</w:t>
      </w:r>
      <w:proofErr w:type="gram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.), co zmniejszyłoby obciążenie finansowe osób o najmniejszych dochodach i zwiększyłoby ich zdolność nabywczą. W marcu 2016 </w:t>
      </w:r>
      <w:proofErr w:type="gramStart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roku  Sejm</w:t>
      </w:r>
      <w:proofErr w:type="gram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 xml:space="preserve"> w pierwszym czytaniu poprawkę przyjął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 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Wiosną 2016 r. członkowie Frakcji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zgłosili projekt Ustawy o Instytucjach Finansowych, przewidującą opodatkowanie majątku instytucji finansowych (banków). W ten sposób do budżetu państwa wpłynęłyby dodatkowe środki, które byłyby wykorzystane na finansowanie potrzeb społecznych i realizację polityki prorodzinnej (120 euro na dziecko, środki na realizację Ustawy o Karcie Dużej Rodziny, zwiększenie emerytur i in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.). Projekt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ma na celu zwiększenie udziału instytucji finansowych we wpływach do budżetu państwa.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Także podczas wiosennej sesji 2016 r. Frakcja zgłosiła projekt Ustawy o Podatku od Handlu Detalicznego, przewidującego opodatkowanie dużych sieci handlowych. W ten sposób przedsiębiorstwa handlu detalicznego i należące do nich sieci handlowe o milionowych dochodach w większym niż dotychczas stopniu przyczyniłyby się do pokrycia potrzeb finansowych państwa.  Jest to sposób, by budzić w biznesie poczucie odpowiedzialności i brać udział w budowaniu dobrobytu państwa i jego obywateli proporcjonalnie do otrzymywanych </w:t>
      </w:r>
      <w:r w:rsidRPr="005B525B">
        <w:rPr>
          <w:rFonts w:ascii="Times New Roman" w:hAnsi="Times New Roman" w:cs="Times New Roman"/>
          <w:sz w:val="24"/>
          <w:szCs w:val="24"/>
          <w:lang w:val="pl-PL"/>
        </w:rPr>
        <w:t>zysków.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lt-LT"/>
        </w:rPr>
        <w:t xml:space="preserve">   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</w:p>
    <w:p w:rsidR="003469A4" w:rsidRDefault="003469A4" w:rsidP="003469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lt-LT"/>
        </w:rPr>
        <w:t>OŚWIAT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Oświata jest podstawowym czynnikiem rozwoju społeczeństwa, fundamentem wszelkich reform społecznych. Jej podstawowym celem jest zaszczepienie w młodej osobowości podstawowych umiejętności i nawyków potrzebnych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do  pełnego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, samodzielnego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życia oraz pomóc w doskonaleniu  zdolności na przeciągu całego życia. Prawo do uczenia się jest prawem każdego człowieka, zaś oświata – priorytetową dziedziną rozwoju społeczeństwa wspieraną przez państwo.</w:t>
      </w:r>
    </w:p>
    <w:p w:rsidR="003469A4" w:rsidRDefault="003469A4" w:rsidP="00346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Podczas kadencji Frakcja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aktywnie działała na rzecz doskonalenia systemu oświaty zwracając szczególną uwagę na ochronę oświaty mniejszości narodowych.  Członkowie Frakcji zgłosili szereg projektów ustaw i rozporządzeń, które przewidują przywrócenie wielkości „koszyczka ucznia“ dla wszystkich szkół i dla szkół mniejszości narodowych do poziomu przedkryzysowego, gdyż w 2009 roku zmniejszony ze względu na panujący kryzys ekonomiczny „koszyczek ucznia“ zarówno ogólny jak i dla szkół mniejszości narodowych nie jest w stanie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zapewnić jakości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nauczania.  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2013 roku Frakcja zgłosiła projekt poprawki do części 1,2,3 artykułu 31 Ustawy o Oświacie, przewidujący obowiązkowe nauczanie religii w szkołach. Wychowanie religijne jest ważnym czynnikiem, który kształtuje ogólnoludzkie i chrześcijańskie wartości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i  w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ten sposób przyczynia się do zmniejszenia przestępczości wśród dzieci i młodzieży. </w:t>
      </w:r>
    </w:p>
    <w:p w:rsidR="003469A4" w:rsidRDefault="003469A4" w:rsidP="00346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W 2015 roku Frakcja przygotowała i zgłosiła rozporządzenie i rezolucję w sprawie zrównania wysokości wynagrodzeń pedagogów przedszkolnych i wczesnoszkolnych z wynagrodzeniem nauczycieli. Rezolucja została przyjęta przez Sejm. Ministerstwo Oświaty i Nauki w swoim wniosku do budżetu państwa przewidziało środki na wyrównanie płac.</w:t>
      </w:r>
    </w:p>
    <w:p w:rsidR="003469A4" w:rsidRDefault="003469A4" w:rsidP="0034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  <w:t xml:space="preserve">W 2015 roku Frakcja parlamentarna AWPL brała aktywny udział w pracach nad projektem poprawki do części 2 i 6 artykułu 41 Ustawy o Oświacie, przewidującej wydłużenie terminu do 2017 roku przygotowania do akredytacji programów nauczania na poziomie szkoły średniej.  </w:t>
      </w:r>
    </w:p>
    <w:p w:rsidR="003469A4" w:rsidRDefault="003469A4" w:rsidP="003469A4">
      <w:pPr>
        <w:spacing w:after="0" w:line="360" w:lineRule="auto"/>
        <w:ind w:firstLine="567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  <w:t xml:space="preserve">Frakcja aktywnie zabiega o odwołanie ujednoliconego egzaminu maturalnego z języka litewskiego dla szkół mniejszości narodowych. Uczniowie szkół mniejszościowych mają więcej przedmiotów i języków do opanowania, a tym samym mniejszą ilość godzin lekcyjnych z języka litewskiego na przerobienie tego samego programu, co uczniowie litewskich szkół, dla których jest to język ojczysty. </w:t>
      </w:r>
    </w:p>
    <w:p w:rsidR="003469A4" w:rsidRDefault="003469A4" w:rsidP="003469A4">
      <w:pPr>
        <w:spacing w:after="0" w:line="360" w:lineRule="auto"/>
        <w:ind w:firstLine="567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Członkowie Frakcji uczestniczyli w pracach Komisji na rzecz Dobra Dziecka przygotowującej poprawki do szeregu artykułów Ustawy o Oświacie, mających na celu doskonalenie obowiązującego systemu minimalnej i umiarkowanej opieki nad dzieckiem i stworzenie odpowiednich warunków do resocjalizacji i integracji ze społeczeństwem dzieci z zaburzeniami zachowania.</w:t>
      </w:r>
    </w:p>
    <w:p w:rsidR="003469A4" w:rsidRDefault="003469A4" w:rsidP="003469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2016 roku członkowie Frakcji przygotowali i zgłosili projekty Ustawy o Oświacie, przewidujące na terytoriach tradycyjnie lub licznie zamieszkałych przez mniejszości narodowe stworzenie warunków do kontynuowania nauczania jak </w:t>
      </w:r>
      <w:r w:rsidRPr="00590EFE">
        <w:rPr>
          <w:rFonts w:ascii="Times New Roman" w:hAnsi="Times New Roman" w:cs="Times New Roman"/>
          <w:sz w:val="24"/>
          <w:szCs w:val="24"/>
          <w:lang w:val="pl-PL"/>
        </w:rPr>
        <w:t>w języku państwowym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tak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i w języku mniejszości narodowej, gwarantując im równe prawa i zapewniaj</w:t>
      </w: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ąc im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odpowiednie możliwości do nauki w wybranej szkole.</w:t>
      </w:r>
    </w:p>
    <w:p w:rsidR="003469A4" w:rsidRDefault="003469A4" w:rsidP="003469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24 kwietnia 2015 roku członkowie Frakcji zorganizowali Konferencję pt. „Ujednolicony egzamin z języka litewskiego – wyzwania i skutki dla maturzysty, nauczyciela, szkoły“, na której omówiony został wpływ zmian w Ustawie Oświatowej na proces nauczania w szkołach mniejszości narodowych, ze względu na problemy i wyzwania stojące przed uczniami szkół mniejszości narodowych, nauczycielami i samymi placówkami po ujednoliceniu programu nauczania i egzaminu z języka państwowego.</w:t>
      </w:r>
    </w:p>
    <w:p w:rsidR="003469A4" w:rsidRDefault="003469A4" w:rsidP="003469A4">
      <w:pPr>
        <w:spacing w:after="0" w:line="360" w:lineRule="auto"/>
        <w:ind w:firstLine="567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16 marca 2016 roku z inicjatywy posłów AWPL-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Sejmie odbyła się kolejna konferencja oświatowa pt. „Oświata mniejszości narodowych na Litwie: doświadczenie, teraźniejszość, przyszłość”, na której przy udziale posłów, przedstawicieli rządu, Ministerstwa Oświaty i Nauki oraz społeczności szkolnych omówiono osiągnięcia i problemy oświaty różnych mniejszości narodowych Litwy.</w:t>
      </w:r>
    </w:p>
    <w:p w:rsidR="003469A4" w:rsidRDefault="003469A4" w:rsidP="003469A4">
      <w:pPr>
        <w:spacing w:after="0" w:line="360" w:lineRule="auto"/>
        <w:ind w:firstLine="567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Frakcja zawsze aktywnie wspierała akcje protestów organizowane przez społeczności szkół z polskim i rosyjskim językiem nauczania. </w:t>
      </w:r>
    </w:p>
    <w:p w:rsidR="003469A4" w:rsidRDefault="003469A4" w:rsidP="00346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</w:p>
    <w:p w:rsidR="003469A4" w:rsidRDefault="003469A4" w:rsidP="003469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ROLNICTWO I ZWROT ZIEMI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Rolnictwo jest jedną z najważniejszych strategicznych dziedzin gospodarki państwa. Jest ważne w aspekcie ekonomicznym, społeczno-kulturalnym i ochrony środowiska.  </w:t>
      </w:r>
    </w:p>
    <w:p w:rsidR="003469A4" w:rsidRDefault="003469A4" w:rsidP="003469A4">
      <w:pPr>
        <w:pStyle w:val="statymopavad"/>
        <w:spacing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 xml:space="preserve">                     Jeszcze w roku 2013 Frakcja AWPL-</w:t>
      </w:r>
      <w:proofErr w:type="spellStart"/>
      <w:r>
        <w:rPr>
          <w:lang w:val="pl-PL"/>
        </w:rPr>
        <w:t>ZChR</w:t>
      </w:r>
      <w:proofErr w:type="spellEnd"/>
      <w:r>
        <w:rPr>
          <w:lang w:val="pl-PL"/>
        </w:rPr>
        <w:t xml:space="preserve"> poparła rezolucję Sejmu w sprawie konsekwentnej polityki </w:t>
      </w:r>
      <w:proofErr w:type="gramStart"/>
      <w:r>
        <w:rPr>
          <w:lang w:val="pl-PL"/>
        </w:rPr>
        <w:t>państwa co</w:t>
      </w:r>
      <w:proofErr w:type="gramEnd"/>
      <w:r>
        <w:rPr>
          <w:lang w:val="pl-PL"/>
        </w:rPr>
        <w:t xml:space="preserve"> do organizmów modyfikowanych genetycznie, w której do Rządu Litwy została skierowana propozycja zajęcia twardego stanowiska w kwestii ograniczania GMO, jako jednego z zasadniczych celów polityki zdrowotnej, rolnej oraz ochrony środowiska.</w:t>
      </w:r>
    </w:p>
    <w:p w:rsidR="003469A4" w:rsidRDefault="003469A4" w:rsidP="003469A4">
      <w:pPr>
        <w:pStyle w:val="statymopavad"/>
        <w:spacing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ab/>
        <w:t xml:space="preserve">Frakcja apelowała do rządu i Ministra Rolnictwa o bardziej skuteczne negocjacje w sprawie większego wsparcia UE dla rolników, domaganie się rekompensaty strat producentów mleka spowodowanych embargiem. </w:t>
      </w:r>
    </w:p>
    <w:p w:rsidR="003469A4" w:rsidRPr="00DF0651" w:rsidRDefault="003469A4" w:rsidP="003469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ab/>
        <w:t xml:space="preserve"> Przedstawiciele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 w ciągu całej kadencji aktywnie pracowali na rzecz zwrotu ziemi</w:t>
      </w:r>
      <w:r w:rsidRPr="00DF0651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 </w:t>
      </w:r>
    </w:p>
    <w:p w:rsidR="003469A4" w:rsidRPr="00956312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ab/>
      </w:r>
      <w:r w:rsidRPr="00956312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W 2013 roku Frakcja przygotowała i zgłosiła projekt poprawki do artykułów 5 i 12 Ustawy o Przywróceniu Prawa Własności Obywateli do Zachowanych Nieruchomości, przewidującej przedłużenie terminu decyzji o formie zwrotu ziemi dla właścicieli (rekompensata pieniędzmi, działką </w:t>
      </w:r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budowlaną</w:t>
      </w:r>
      <w:r w:rsidRPr="00956312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, działką leśną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 lub rolną</w:t>
      </w:r>
      <w:r w:rsidRPr="00956312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). </w:t>
      </w:r>
      <w:r w:rsidRPr="00956312">
        <w:rPr>
          <w:rFonts w:ascii="Times New Roman" w:eastAsia="Times New Roman" w:hAnsi="Times New Roman" w:cs="Times New Roman"/>
          <w:bCs/>
          <w:sz w:val="24"/>
          <w:szCs w:val="24"/>
          <w:lang w:val="pl-PL" w:eastAsia="lt-LT"/>
        </w:rPr>
        <w:t>Projekt został odrzucony przez większość posłów</w:t>
      </w:r>
      <w:r w:rsidRPr="0095631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56312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 </w:t>
      </w:r>
    </w:p>
    <w:p w:rsidR="003469A4" w:rsidRPr="00584D55" w:rsidRDefault="003469A4" w:rsidP="00346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81B05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           </w:t>
      </w:r>
      <w:r w:rsidRPr="00181B05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</w:t>
      </w:r>
      <w:r w:rsidRPr="00584D55">
        <w:rPr>
          <w:rFonts w:ascii="Times New Roman" w:hAnsi="Times New Roman" w:cs="Times New Roman"/>
          <w:sz w:val="24"/>
          <w:szCs w:val="24"/>
          <w:lang w:val="pl-PL"/>
        </w:rPr>
        <w:t xml:space="preserve">W 2014 roku Frakcja ponownie zgłosiła poprawki do artykułów 5, 12, 16 i 21 </w:t>
      </w:r>
      <w:r w:rsidRPr="00584D55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Ustawy o Przywróceniu Prawa Własności Obywateli do Zachowanych Nieruchomości</w:t>
      </w:r>
      <w:r w:rsidRPr="00584D55">
        <w:rPr>
          <w:rFonts w:ascii="Times New Roman" w:hAnsi="Times New Roman" w:cs="Times New Roman"/>
          <w:sz w:val="24"/>
          <w:szCs w:val="24"/>
          <w:lang w:val="pl-PL"/>
        </w:rPr>
        <w:t xml:space="preserve">, mający na celu </w:t>
      </w:r>
      <w:r w:rsidRPr="00584D55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przyspieszenie procesu zwrotu ziemi, a tym samym wywiązanie się państwa z zobowiązań wobec obywateli</w:t>
      </w:r>
      <w:r w:rsidRPr="00584D5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3469A4" w:rsidRPr="00831A38" w:rsidRDefault="003469A4" w:rsidP="00831A38">
      <w:pPr>
        <w:spacing w:after="0" w:line="360" w:lineRule="auto"/>
        <w:jc w:val="both"/>
        <w:rPr>
          <w:lang w:val="pl-PL"/>
        </w:rPr>
      </w:pPr>
      <w:r w:rsidRPr="00584D55">
        <w:rPr>
          <w:rFonts w:ascii="Times New Roman" w:hAnsi="Times New Roman" w:cs="Times New Roman"/>
          <w:sz w:val="24"/>
          <w:szCs w:val="24"/>
          <w:lang w:val="pl-PL"/>
        </w:rPr>
        <w:t>Projekt przewiduje zwrot prawowitym właścicielom ziemi znajdującej się pod budynkami, oddanymi przez państwo w dzierżawę firmom lub instytucjom. W tym przypadku prawa wydzierżawiającego są przekazywane właścicielowi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584D55">
        <w:rPr>
          <w:rFonts w:ascii="Times New Roman" w:hAnsi="Times New Roman" w:cs="Times New Roman"/>
          <w:sz w:val="24"/>
          <w:szCs w:val="24"/>
          <w:lang w:val="pl-PL"/>
        </w:rPr>
        <w:t xml:space="preserve">Poza tym projekt wprowadza dodatkowy sposób rekompensaty za podlegające wywłaszczeniu/wykupowi przez państwo ziemię i zbiorniki wodne w mieście. Prawowity właściciel może w tym wypadku wybrać przydział działki leśnej o takiej samej wartości na terenie wiejskim, gdyż lasy na terytorium miast mają znaczenie państwowe i nie podlegają prywatyzacji.  </w:t>
      </w:r>
      <w:r>
        <w:rPr>
          <w:rFonts w:ascii="Times New Roman" w:hAnsi="Times New Roman" w:cs="Times New Roman"/>
          <w:sz w:val="24"/>
          <w:szCs w:val="24"/>
          <w:lang w:val="pl-PL"/>
        </w:rPr>
        <w:t>Projekt został przyjęty częściowo.</w:t>
      </w:r>
    </w:p>
    <w:p w:rsidR="003469A4" w:rsidRDefault="003469A4" w:rsidP="003469A4">
      <w:pPr>
        <w:spacing w:after="0" w:line="36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MNIEJSZOŚCI NARODOWE</w:t>
      </w:r>
    </w:p>
    <w:p w:rsidR="003469A4" w:rsidRDefault="003469A4" w:rsidP="003469A4">
      <w:pPr>
        <w:spacing w:after="0" w:line="360" w:lineRule="auto"/>
        <w:ind w:firstLine="1296"/>
        <w:jc w:val="both"/>
      </w:pPr>
      <w:r>
        <w:rPr>
          <w:rStyle w:val="itemimagecaption"/>
          <w:rFonts w:ascii="Times New Roman" w:hAnsi="Times New Roman" w:cs="Times New Roman"/>
          <w:sz w:val="24"/>
          <w:szCs w:val="24"/>
          <w:lang w:val="pl-PL"/>
        </w:rPr>
        <w:t xml:space="preserve">Mniejszości narodowe na Litwie są znaczącą częścią społeczeństwa, są bogactwem państwa, o które trzeba dbać. 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Frakcja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podczas kadencji podejmowała działania w obronie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praw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mniejszości narodowych, aktywnie zgłaszała projekty ustaw, mające na celu zapewnienie podstawowych praw i wolności mniejszościom narodowym. Kierowała liczne pisma do instytucji europejskich, w których zabiegała o to, by na Litwie mniejszości narodowe miały takie same prawa i wolności jak w pozostałych krajach Unii Europejskiej i innych państwach. Członkowie Frakcji pięciokrotnie spotykali się z przedstawicielami Organizacji Bezpieczeństwa i Współpracy w Europie (OBWE). Podczas spotkań zostały szczegółowo omówione problemy, z którymi stykają się mniejszości narodowe na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 xml:space="preserve">Litwie: </w:t>
      </w:r>
      <w:r>
        <w:rPr>
          <w:rFonts w:ascii="Times New Roman" w:hAnsi="Times New Roman" w:cs="Times New Roman"/>
          <w:strike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jednakowy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próg wyborczy dla partii mniejszości narodowych jak dla pozostałych, brak materiałów i biuletynów wyborczych w językach mniejszości narodowych, zmiana granic okręgów wyborczych, problem z obecnością języków ojczystych w przestrzeni publicznej, polityka telewizji państwowej skierowana przeciwko mniejszościom narodowym. 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W roku 2013 Frakcja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zgłosiła projekt rozporządzenia Sejmu w sprawie Ustawy o Mniejszościach Narodowych Nr. I-1007 z 29 stycznia 1991 roku uchwalonej przez Radę Najwyższą Republiki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Litewskiej-Sejm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Odrodzeniowy 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Atkuriamasis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Seimas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), który przewidywał, że do czasu uchwalenia nowej Ustawy o Mniejszościach Narodowych będą stosowane założenia Ustawy z 29 stycznia 1991 roku. Ten akt prawny w przypadku zwartego zamieszkiwania jakiejkolwiek mniejszości narodowej na terytorium jednostki administracyjnej zezwalał na użycie języka mniejszości w urzędach i organizacjach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równolegle z językiem państwowym oraz na umieszczenie nadpisów informacyjnych w języku mniejszości narodowej obok nadpisów w języku państwowym.  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Także w roku 2013 Frakcja zgłosiła projekt Ustawy o Mniejszościach Narodowych w celu zapewnienia podstawowych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praw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i wolności mniejszościom narodowym w jednym akcie prawnym- Ustawie o Mniejszościach Narodowych Litwy.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W 2014 roku Frakcja przygotowała i zgłosiła kolejny projekt Ustawy o Mniejszościach Narodowych, uzgodniony z grupą roboczą powołaną przez rząd oraz odpowiadający wszelkim standardom międzynarodowym.</w:t>
      </w:r>
    </w:p>
    <w:p w:rsidR="003469A4" w:rsidRPr="00752C6C" w:rsidRDefault="003469A4" w:rsidP="003469A4">
      <w:pPr>
        <w:spacing w:after="0" w:line="360" w:lineRule="auto"/>
        <w:jc w:val="both"/>
        <w:rPr>
          <w:b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Jeszcze w poprzedniej kadencji Sejmu w okresie 2008-2012 roku zgłoszony został projekt Ustawy o Mniejszościach Narodowych, który tak jak inne projekty nie został do chwili obecnej przyjęty, z tego powodu, iż rząd nie wykonuje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programu,  lekceważąc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obywateli innych narodowości oraz ignorując ich problemy.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Posłowie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wspólnie z innymi członkami partii w ciągu ostatnich czterech lat wysłali 12 pism do szefów różnych instytucji Unii Europejskiej.</w:t>
      </w:r>
    </w:p>
    <w:p w:rsidR="003469A4" w:rsidRDefault="003469A4" w:rsidP="00346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469A4" w:rsidRDefault="003469A4" w:rsidP="003469A4">
      <w:pPr>
        <w:spacing w:after="0" w:line="36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OCHRONA SOCJALNA, EMIGRACJA I SYTUACJA DEMOGRAFICZNA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Polityka społeczna jest jedną z najważniejszych dziedzin polityki państwa, która odpowiada na potrzeby człowieka i ma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wpływ na jakość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życia i zmniejszenie ubóstwa.  Od niej bezpośrednio zależy przyszłość obywateli i całego państwa. Obecnie na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Litwie  decyzje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są często podejmowane pod wpływem emocji, dla tymczasowego wyciszenia spraw i  problemów, które wstrząsnęły społeczeństwem. Ukierunkowana, długoterminowa strategia przeciwdziałania wykluczeniu społecznemu, emigracji i kryzysowi demograficznemu nie istnieje.  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w swoim programie wyborczym z 2012 roku, deklarowała, że podejmie wszelkie starania,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by  minimalne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wynagrodzenie było nie mniejsze niż 1200 litów, co i zostało osi</w:t>
      </w: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gnięte. Obecnie minimalne wynagrodzenie miesięczne wynosi 380 euro i stanowi około 50 proc. średniej krajowej. Uwzględniając jednak skok cen towarów i usług po wprowadzeniu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euro  nadal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jest ono niewystarczająco wysokie.</w:t>
      </w:r>
    </w:p>
    <w:p w:rsidR="003469A4" w:rsidRDefault="003469A4" w:rsidP="00346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Frakcja przygotowała i zgłosiła projekt poprawki do Ustawy o Emeryturach z Państwowego Ubezpieczenia Społecznego, który przewiduje ustanowienie zmiennej podstawowej części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emerytury  na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 poziomie 25 procent średniej krajowej miesięcznej płacy zarobkowej, co umożliwiłoby wzrost emerytur o 32 procenty oraz późniejszej indeksacji emerytur w zależności od wzrostu średniej krajowej. Projekt poprawki został przez Sejm w pierwszym czytaniu przyjęty i trafił </w:t>
      </w:r>
      <w:r w:rsidRPr="00295731">
        <w:rPr>
          <w:rFonts w:ascii="Times New Roman" w:hAnsi="Times New Roman" w:cs="Times New Roman"/>
          <w:sz w:val="24"/>
          <w:szCs w:val="24"/>
          <w:lang w:val="pl-PL"/>
        </w:rPr>
        <w:t>pod obrady</w:t>
      </w:r>
      <w:r w:rsidRPr="000E4B1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 komitetach sejmowych.</w:t>
      </w:r>
    </w:p>
    <w:p w:rsidR="003469A4" w:rsidRDefault="003469A4" w:rsidP="003469A4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Posłowie Frakcji uczestniczyli w pracach sejmowej grupy roboczej zajmującej się kwestią rekompensaty części rent i emerytur zmniejszonych </w:t>
      </w:r>
      <w:r w:rsidRPr="00533254">
        <w:rPr>
          <w:rFonts w:ascii="Times New Roman" w:hAnsi="Times New Roman" w:cs="Times New Roman"/>
          <w:sz w:val="24"/>
          <w:szCs w:val="24"/>
          <w:lang w:val="pl-PL"/>
        </w:rPr>
        <w:t>w okresie kryzysu ekonomicznego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Grupa robocza zrzeszająca przedstawicieli wszystkich ugrupować politycznych, znajdujących się w Sejmie wnioskowała o rekompensatę niewypłaconej części rent i emerytur oraz opracowała harmonogram wypłat. </w:t>
      </w:r>
    </w:p>
    <w:p w:rsidR="003469A4" w:rsidRPr="002C74A0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C74A0">
        <w:rPr>
          <w:rFonts w:ascii="Times New Roman" w:hAnsi="Times New Roman" w:cs="Times New Roman"/>
          <w:sz w:val="24"/>
          <w:szCs w:val="24"/>
          <w:lang w:val="pl-PL"/>
        </w:rPr>
        <w:t>W 2014 roku Frakcja uczestniczyła w pracach nad poprawkami do Ustawy o Rekompensacie Rent i Emerytur z Państwowego Ubezpieczenia Społecznego, które przewidują wypłatę części zmniejszonych w okresie kryzysu ekonomicznego rent i emerytur w przypadku śmierci świadczeniobiorcy jego prawowitym spadkobiercom. Te poprawki zostały przez Sejm odrzucone. Frakcja nie dała za wygraną i w 2016 roku zgłosiła analogiczną w treści poprawkę. Jest szansa, że zostanie ona przez Sejm zaaprobowana, gdyż poparło ją wielu posłów z innych frakcji sejmowych.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Frakcja aktywnie wspiera duże rodziny, dąży do poprawy sytuacji demograficznej oraz zwiększenia liczby narodzin. W tym celu Frakcja zgłosiła poprawkę do artykułu 6 Ustawy o Świadczeniach na Dzieci, która przewiduje wypłatę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rodzinom co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miesiąc świadczenia w wysokości 120 euro na każde drugie i kolejne dziecko. Posłowie z ramienia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przygotowali i zgłosili także projekt Ustawy o Karcie Dużej Rodziny adresowany do rodzin wychowujących trójkę lub więcej dzieci. Karta Dużej Rodziny obejmie szeroką gamę towarów i usług, które będą dostępne dla posiadaczy Karty na bardziej korzystnych warunkach.  Karta przewiduje także szereg zniżek na transport, sport i rozrywkę, zajęcia dla dzieci i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in.  Program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powinien włączać ulgi i zniżki oferowane zarówno przez sektor  państwowy jak i prywatny. Projekty zostały w pierwszym czytaniu przyjęte przez Sejm. </w:t>
      </w:r>
    </w:p>
    <w:p w:rsidR="003469A4" w:rsidRPr="000E4B13" w:rsidRDefault="003469A4" w:rsidP="003469A4">
      <w:pPr>
        <w:spacing w:after="0" w:line="360" w:lineRule="auto"/>
        <w:jc w:val="both"/>
        <w:rPr>
          <w:b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Członkowie Frakcji udzielili wsparcia oraz uczestniczyli w pracach nad projektem Ustawy o Umocnieniu Rodziny, który w bieżącym roku trafił pod obrady Sejmu.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lt-LT"/>
        </w:rPr>
        <w:tab/>
        <w:t xml:space="preserve">W 2015 roku Frakcja zgłosiła rozporządzenie i rezolucję w sprawie wysokości wynagrodzeń służbowych pracowników, którzy nie należą do kategorii urzędników państwowych, zatrudnionym w instytucjach czy urzędach sektora administracji publicznej, instytucjach samorządowych i innych organizacjach budżetowych. Wymienione akty prawne przewidują wzrost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l-PL" w:eastAsia="lt-LT"/>
        </w:rPr>
        <w:t>wynagrodzeń  wykwalifikowanych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l-PL" w:eastAsia="lt-LT"/>
        </w:rPr>
        <w:t xml:space="preserve"> pracowników sektora publicznego, gdyż wynagrodzenia tych pracowników mimo rosnącego przez szereg lat minimalnego wynagrodzenia miesięcznego pozostały niezmienne i wkrótce mogą osiągnąć poziom płacy minimalnej.  Akty prawne zostały zaaprobowane przez Sejm.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W 2014 roku Frakcja zgłosiła projekt Ustawy o Wspieraniu Zatrudnienia, przewidujący zwiększenie poziomu aktywności osób w wieku 50-64 lat. Projekt ma na celu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większe wykorzystanie potencjału pracowniczego i doświadczenia, zwiększenie udziału w rynku pracy, aktywności społecznej osób starszych.  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469A4" w:rsidRDefault="003469A4" w:rsidP="003469A4">
      <w:pPr>
        <w:spacing w:after="0" w:line="36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OCHRONA ZDROWIA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Należy szukać sposobów ulepszenia systemu ochrony zdrowia na Litwie. Powinien on być dostępny dla pacjenta, zaś oszczędność środków nie powinna odbijać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się na jakości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usług medycznych.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Frakcja poprzez konkretne działania zabiegała o przyznanie większych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kwot  na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opiekę paliatywną dla szpitali i hospicjum, wsparła inicjatywę obniżenia podatku VAT na leki.</w:t>
      </w:r>
    </w:p>
    <w:p w:rsidR="003469A4" w:rsidRDefault="003469A4" w:rsidP="00346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Frakcja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zawsze popierała i będzie popierać projekty ustaw dążące do doskonalenia systemu ochrony zdrowia, by był on zrozumiały, przejrzysty i sprawiedliwy.   </w:t>
      </w:r>
    </w:p>
    <w:p w:rsidR="003469A4" w:rsidRDefault="003469A4" w:rsidP="003469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469A4" w:rsidRDefault="003469A4" w:rsidP="003469A4">
      <w:pPr>
        <w:spacing w:after="0" w:line="36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KULTURA, SPORT I POLITYKA MŁODZIEŻOWA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Frakcja AWPL-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zawsze aktywnie wspierała projekty ustaw związane z zatrudnieniem młodzieży, pielęgnowaniem własnej kultury, edukacją kulturalną młodego pokolenia, a także akty prawne propagujące ideę „sport dla wszystkich” i budowę boisk w miejscowościach wiejskich.</w:t>
      </w:r>
    </w:p>
    <w:p w:rsidR="003469A4" w:rsidRDefault="003469A4" w:rsidP="003469A4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Członkowie Frakcji fundują nagrody, wspierają finansowo różne imprezy sportowe i kulturalne, które pobudzają aktywność młodzieży czy innych grup wiekowych, popularyzują zdrowy tryb życia. </w:t>
      </w:r>
    </w:p>
    <w:p w:rsidR="003469A4" w:rsidRDefault="003469A4" w:rsidP="00346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9A4" w:rsidRDefault="003469A4" w:rsidP="003469A4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POLITYKA OBRONNA</w:t>
      </w:r>
    </w:p>
    <w:p w:rsidR="003469A4" w:rsidRDefault="003469A4" w:rsidP="00831A38">
      <w:pPr>
        <w:spacing w:after="0" w:line="360" w:lineRule="auto"/>
        <w:ind w:firstLine="129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 2005 r.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udzieliło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poparcia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projektowi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przywracającej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zasadniczą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służbę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wojskową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zasadnicza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chociaż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wojskowej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powinno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przymusowe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poszerzyć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ochotniczej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wychować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wojsko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zawodowe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W 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wojska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corocznie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powoływani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będą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wyłącznie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ochotnicy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kolei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zapewniłoby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profesjonalizm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9A4" w:rsidRDefault="003469A4" w:rsidP="003469A4">
      <w:pPr>
        <w:spacing w:after="0" w:line="360" w:lineRule="auto"/>
        <w:jc w:val="both"/>
      </w:pPr>
    </w:p>
    <w:p w:rsidR="003469A4" w:rsidRDefault="003469A4" w:rsidP="003469A4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ZAPEWNIENIE PRAWORZĄDNOŚCI I WALKA Z KORUPCJĄ</w:t>
      </w:r>
    </w:p>
    <w:p w:rsidR="003469A4" w:rsidRPr="00250016" w:rsidRDefault="003469A4" w:rsidP="003469A4">
      <w:pPr>
        <w:spacing w:after="0" w:line="360" w:lineRule="auto"/>
        <w:ind w:firstLine="129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współczesnej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odpowiedzialność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karną, jako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narzędzie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naruszeniami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uznaje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ostateczny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roku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zgłosiła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poprawkę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artykułu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287 Kodeksu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zaostrzającą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odpowiedzialność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przemoc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psychiczną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fizyczną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urzędników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państwowych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pracowników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szczególnie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szantaż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jako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narzędzie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wpływów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decyzje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urzędników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państwowych</w:t>
      </w:r>
      <w:proofErr w:type="spellEnd"/>
      <w:r w:rsidRPr="00250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2015 roku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głosowała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upowszechnieniem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współpracownikach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sowieckiej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specjalnej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KGB,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przyznali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współpracy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Niestety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większość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sejmowa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uznała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pozostaną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następne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9A4" w:rsidRDefault="003469A4" w:rsidP="003469A4">
      <w:pPr>
        <w:spacing w:after="0" w:line="36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9A4" w:rsidRDefault="003469A4" w:rsidP="003469A4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ROZWIJANIE DUCHOWOŚCI. KOŚCIÓŁ</w:t>
      </w:r>
    </w:p>
    <w:p w:rsidR="003469A4" w:rsidRDefault="003469A4" w:rsidP="003469A4">
      <w:pPr>
        <w:spacing w:after="0" w:line="360" w:lineRule="auto"/>
        <w:ind w:firstLine="129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przewidujących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poprawę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finansowych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3CD">
        <w:rPr>
          <w:rFonts w:ascii="Times New Roman" w:eastAsia="Times New Roman" w:hAnsi="Times New Roman" w:cs="Times New Roman"/>
          <w:sz w:val="24"/>
          <w:szCs w:val="24"/>
        </w:rPr>
        <w:t>duchownych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tradycyjnych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religijnych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emerytalnym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9A4" w:rsidRDefault="003469A4" w:rsidP="003469A4">
      <w:pPr>
        <w:spacing w:after="0" w:line="360" w:lineRule="auto"/>
        <w:ind w:firstLine="129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budżetem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zgłasza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propozycje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przeznaczyć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odbudowę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kościołów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469A4" w:rsidRDefault="003469A4" w:rsidP="003469A4">
      <w:pPr>
        <w:spacing w:after="0" w:line="360" w:lineRule="auto"/>
        <w:ind w:firstLine="129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początku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zgłosiła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ochronie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prenatalnej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ludzkiego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spotkał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ogromnym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zainteresowaniem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został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przedyskutowany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roboczych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Dyskusja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przeciągnęła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została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jeszcze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przyjęta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9A4" w:rsidRDefault="003469A4" w:rsidP="003469A4">
      <w:pPr>
        <w:spacing w:after="0" w:line="360" w:lineRule="auto"/>
        <w:ind w:firstLine="129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jednogłośnie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głosowała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przeciwko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eutanazji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Pozbawienie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kogoś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przestępstwem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zostać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uprawomocnione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zwolnione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kary. </w:t>
      </w:r>
    </w:p>
    <w:p w:rsidR="003469A4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udział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poparła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artykułu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Konstytucji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było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umocowanie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Konstytucji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instytucji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opartej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małżeństwie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rozumianym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jako </w:t>
      </w: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dobrowolny </w:t>
      </w:r>
      <w:r w:rsidRPr="003469A4">
        <w:rPr>
          <w:rFonts w:ascii="Times New Roman" w:eastAsia="Times New Roman" w:hAnsi="Times New Roman" w:cs="Times New Roman"/>
          <w:sz w:val="24"/>
          <w:szCs w:val="24"/>
          <w:lang w:val="pl-PL"/>
        </w:rPr>
        <w:t>związek mężczyzny i kobiety</w:t>
      </w:r>
      <w:r w:rsidR="00831A3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3469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oraz rodziny wynikającej z macierzyństwa i ojcostwa. </w:t>
      </w: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>W Sejmie odbyło się już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pierwsze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projektu. </w:t>
      </w:r>
    </w:p>
    <w:p w:rsidR="003469A4" w:rsidRPr="006A20F0" w:rsidRDefault="003469A4" w:rsidP="003469A4">
      <w:pPr>
        <w:tabs>
          <w:tab w:val="left" w:pos="3585"/>
        </w:tabs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>W bieżącym roku Sejm obradował również nad projektem Ustawy o Zapłodnieniu Pomocniczym (pozaustrojowym). Projekt ten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zbudowany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 taki sposób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by okazać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real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ą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pomoc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bezpłodnym parom 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>małżeńs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kim pragnącym doczekać się potomstwa, uwzględniający prawo dziecka poczętego i jednocześnie przeciwdziałający nadużyciom (produkcja nieograniczonej ilości zarodków, zamrażanie zarodków, wykorzystanie komórek rozrodczych od osób nieżyjących) został poparty prze wszystkich posłów frakcji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0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469A4" w:rsidRPr="006A20F0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Posłowie Frakcji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regularnie 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uczestniczyli w spotkaniach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parlamentarzystów </w:t>
      </w:r>
      <w:r w:rsidRPr="006A20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 biskupami i księżmi. </w:t>
      </w:r>
    </w:p>
    <w:p w:rsidR="003469A4" w:rsidRPr="000242BF" w:rsidRDefault="003469A4" w:rsidP="003469A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>10 września 2013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roku posłowie Frakcji zorganizowali w Sejmie wystawę pt. „Bądźcie świadkami Chrystusa“ poświęconą 20. </w:t>
      </w:r>
      <w:proofErr w:type="gramStart"/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>rocznicy</w:t>
      </w:r>
      <w:proofErr w:type="gramEnd"/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wizyty Ojca Świętego św. Jana Pawła II na Litwie.</w:t>
      </w:r>
    </w:p>
    <w:p w:rsidR="003469A4" w:rsidRPr="00831A38" w:rsidRDefault="003469A4" w:rsidP="00831A3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14C2C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Jesienią 2015 roku z inicjatywy Frakcji AWPL-</w:t>
      </w:r>
      <w:proofErr w:type="spellStart"/>
      <w:r w:rsidRPr="00114C2C">
        <w:rPr>
          <w:rFonts w:ascii="Times New Roman" w:eastAsia="Times New Roman" w:hAnsi="Times New Roman" w:cs="Times New Roman"/>
          <w:sz w:val="24"/>
          <w:szCs w:val="24"/>
          <w:lang w:val="pl-PL"/>
        </w:rPr>
        <w:t>ZChR</w:t>
      </w:r>
      <w:proofErr w:type="spellEnd"/>
      <w:r w:rsidRPr="00114C2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została zorganizowana konferencja „Nieodkryte możliwości turystyczne: Wilno - miasto Miłosierdzia”. Celem konferencji była dyskusja z okazji Jubileuszowego Roku Miłosierdzia oraz zwrócenie szczególnej uwagi na miejsca związane z kultem Miłosierdzia Bożego w Wilnie.</w:t>
      </w:r>
      <w:r w:rsidRPr="008D54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3469A4" w:rsidRDefault="003469A4" w:rsidP="003469A4">
      <w:pPr>
        <w:spacing w:after="0" w:line="360" w:lineRule="auto"/>
        <w:ind w:firstLine="426"/>
        <w:jc w:val="both"/>
      </w:pPr>
    </w:p>
    <w:p w:rsidR="003469A4" w:rsidRDefault="003469A4" w:rsidP="003469A4">
      <w:pPr>
        <w:spacing w:after="0" w:line="360" w:lineRule="auto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PODSUMOWANIE</w:t>
      </w:r>
    </w:p>
    <w:p w:rsidR="003469A4" w:rsidRDefault="003469A4" w:rsidP="00831A3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Członkowie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Frakcji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współpracują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016">
        <w:rPr>
          <w:rFonts w:ascii="Times New Roman" w:eastAsia="Times New Roman" w:hAnsi="Times New Roman" w:cs="Times New Roman"/>
          <w:sz w:val="24"/>
          <w:szCs w:val="24"/>
        </w:rPr>
        <w:t>aktywnie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53CD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wyborcami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spotkania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dyskusjach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wydarzeniach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utrzymują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samorz</w:t>
      </w:r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ądami</w:t>
      </w:r>
      <w:proofErr w:type="spellEnd"/>
      <w:r>
        <w:rPr>
          <w:rStyle w:val="Emfaz"/>
          <w:rFonts w:ascii="Times New Roman" w:hAnsi="Times New Roman" w:cs="Times New Roman"/>
          <w:i w:val="0"/>
          <w:sz w:val="24"/>
          <w:szCs w:val="24"/>
          <w:lang w:val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instytucjami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państwowymi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organizacjami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bieżąco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śledzą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przygotowują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opracowania i propozycje rozwiązania. </w:t>
      </w:r>
    </w:p>
    <w:p w:rsidR="003469A4" w:rsidRPr="000242BF" w:rsidRDefault="003469A4" w:rsidP="00831A38">
      <w:pPr>
        <w:spacing w:after="0" w:line="360" w:lineRule="auto"/>
        <w:ind w:firstLine="1296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Dzięki dobrej współpracy z samorządami i dobrej znajomości potrzeb mieszkańców Wileńszczyzny, posłowie AWPL-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ZChR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niejednokrotnie z dobrym skutkiem składali wnioski i propozycje do budżetu państwa o dofinansowanie projektów, służących wyrównaniu szans mieszkańców wsi i miast oraz służące poprawie warunków życia społeczeństwa. Zrealizowano projekty inwestycyjne, przeprowadzono renowację budynków użyteczności publicznej, dróg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3469A4" w:rsidRDefault="003469A4" w:rsidP="00831A3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Wykonana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>zdobyte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doświadczenie pozwala</w:t>
      </w:r>
      <w:r w:rsidRPr="000242B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określ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ić dążenia na przyszłość, zakreślić plany dalszych działań dla dobra całego społeczeństwa i każdego człowieka oraz z determinacją dążyć do ich realizacji.</w:t>
      </w: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                    _______________________________________</w:t>
      </w: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Pr="00831A38" w:rsidRDefault="00831A38" w:rsidP="00831A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1A38" w:rsidRPr="00831A38" w:rsidRDefault="00831A38" w:rsidP="00831A38">
      <w:pPr>
        <w:spacing w:after="0" w:line="360" w:lineRule="auto"/>
        <w:ind w:firstLine="14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imieniu Frakcji s</w:t>
      </w:r>
      <w:r w:rsidRPr="00831A38">
        <w:rPr>
          <w:sz w:val="24"/>
          <w:szCs w:val="24"/>
          <w:lang w:val="pl-PL"/>
        </w:rPr>
        <w:t>ejmowej AWPL-</w:t>
      </w:r>
      <w:proofErr w:type="spellStart"/>
      <w:r w:rsidRPr="00831A38">
        <w:rPr>
          <w:sz w:val="24"/>
          <w:szCs w:val="24"/>
          <w:lang w:val="pl-PL"/>
        </w:rPr>
        <w:t>ZChR</w:t>
      </w:r>
      <w:proofErr w:type="spellEnd"/>
      <w:r w:rsidRPr="00831A38">
        <w:rPr>
          <w:sz w:val="24"/>
          <w:szCs w:val="24"/>
          <w:lang w:val="pl-PL"/>
        </w:rPr>
        <w:t xml:space="preserve"> </w:t>
      </w:r>
    </w:p>
    <w:p w:rsidR="00831A38" w:rsidRPr="00831A38" w:rsidRDefault="00831A38" w:rsidP="00831A38">
      <w:pPr>
        <w:spacing w:after="0" w:line="360" w:lineRule="auto"/>
        <w:ind w:firstLine="142"/>
        <w:jc w:val="both"/>
        <w:rPr>
          <w:sz w:val="24"/>
          <w:szCs w:val="24"/>
          <w:lang w:val="pl-PL"/>
        </w:rPr>
      </w:pPr>
      <w:proofErr w:type="gramStart"/>
      <w:r w:rsidRPr="00831A38">
        <w:rPr>
          <w:sz w:val="24"/>
          <w:szCs w:val="24"/>
          <w:lang w:val="pl-PL"/>
        </w:rPr>
        <w:t>starosta</w:t>
      </w:r>
      <w:proofErr w:type="gramEnd"/>
      <w:r w:rsidRPr="00831A38">
        <w:rPr>
          <w:sz w:val="24"/>
          <w:szCs w:val="24"/>
          <w:lang w:val="pl-PL"/>
        </w:rPr>
        <w:t xml:space="preserve"> Rita </w:t>
      </w:r>
      <w:proofErr w:type="spellStart"/>
      <w:r w:rsidRPr="00831A38">
        <w:rPr>
          <w:sz w:val="24"/>
          <w:szCs w:val="24"/>
          <w:lang w:val="pl-PL"/>
        </w:rPr>
        <w:t>Tamašunienė</w:t>
      </w:r>
      <w:proofErr w:type="spellEnd"/>
    </w:p>
    <w:p w:rsidR="00831A38" w:rsidRPr="00831A38" w:rsidRDefault="00831A38">
      <w:pPr>
        <w:spacing w:after="0" w:line="360" w:lineRule="auto"/>
        <w:ind w:firstLine="1296"/>
        <w:jc w:val="both"/>
        <w:rPr>
          <w:sz w:val="24"/>
          <w:szCs w:val="24"/>
          <w:lang w:val="pl-PL"/>
        </w:rPr>
      </w:pPr>
    </w:p>
    <w:sectPr w:rsidR="00831A38" w:rsidRPr="00831A38" w:rsidSect="00831A38">
      <w:footerReference w:type="default" r:id="rId21"/>
      <w:pgSz w:w="11906" w:h="16838"/>
      <w:pgMar w:top="1134" w:right="1440" w:bottom="1134" w:left="1440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D2" w:rsidRDefault="008956D2" w:rsidP="008956D2">
      <w:pPr>
        <w:spacing w:after="0" w:line="240" w:lineRule="auto"/>
      </w:pPr>
      <w:r>
        <w:separator/>
      </w:r>
    </w:p>
  </w:endnote>
  <w:endnote w:type="continuationSeparator" w:id="0">
    <w:p w:rsidR="008956D2" w:rsidRDefault="008956D2" w:rsidP="0089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002202"/>
      <w:docPartObj>
        <w:docPartGallery w:val="Page Numbers (Bottom of Page)"/>
        <w:docPartUnique/>
      </w:docPartObj>
    </w:sdtPr>
    <w:sdtEndPr/>
    <w:sdtContent>
      <w:p w:rsidR="008956D2" w:rsidRDefault="008956D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A38">
          <w:rPr>
            <w:noProof/>
          </w:rPr>
          <w:t>5</w:t>
        </w:r>
        <w:r>
          <w:fldChar w:fldCharType="end"/>
        </w:r>
      </w:p>
    </w:sdtContent>
  </w:sdt>
  <w:p w:rsidR="008956D2" w:rsidRDefault="008956D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D2" w:rsidRDefault="008956D2" w:rsidP="008956D2">
      <w:pPr>
        <w:spacing w:after="0" w:line="240" w:lineRule="auto"/>
      </w:pPr>
      <w:r>
        <w:separator/>
      </w:r>
    </w:p>
  </w:footnote>
  <w:footnote w:type="continuationSeparator" w:id="0">
    <w:p w:rsidR="008956D2" w:rsidRDefault="008956D2" w:rsidP="0089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1.75pt;height:101.25pt;visibility:visible;mso-wrap-style:square" o:bullet="t">
        <v:imagedata r:id="rId1" o:title="Be pavadinimo"/>
      </v:shape>
    </w:pict>
  </w:numPicBullet>
  <w:abstractNum w:abstractNumId="0">
    <w:nsid w:val="016246DE"/>
    <w:multiLevelType w:val="hybridMultilevel"/>
    <w:tmpl w:val="FFC032AA"/>
    <w:lvl w:ilvl="0" w:tplc="03E001E8">
      <w:start w:val="1"/>
      <w:numFmt w:val="bullet"/>
      <w:lvlText w:val=""/>
      <w:lvlPicBulletId w:val="0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1" w:tplc="9D6CA9AC" w:tentative="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2" w:tplc="B3A8BF1A" w:tentative="1">
      <w:start w:val="1"/>
      <w:numFmt w:val="bullet"/>
      <w:lvlText w:val=""/>
      <w:lvlJc w:val="left"/>
      <w:pPr>
        <w:tabs>
          <w:tab w:val="num" w:pos="4492"/>
        </w:tabs>
        <w:ind w:left="4492" w:hanging="360"/>
      </w:pPr>
      <w:rPr>
        <w:rFonts w:ascii="Symbol" w:hAnsi="Symbol" w:hint="default"/>
      </w:rPr>
    </w:lvl>
    <w:lvl w:ilvl="3" w:tplc="D4821F1E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4" w:tplc="39B66F20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5" w:tplc="BE184E14" w:tentative="1">
      <w:start w:val="1"/>
      <w:numFmt w:val="bullet"/>
      <w:lvlText w:val=""/>
      <w:lvlJc w:val="left"/>
      <w:pPr>
        <w:tabs>
          <w:tab w:val="num" w:pos="6652"/>
        </w:tabs>
        <w:ind w:left="6652" w:hanging="360"/>
      </w:pPr>
      <w:rPr>
        <w:rFonts w:ascii="Symbol" w:hAnsi="Symbol" w:hint="default"/>
      </w:rPr>
    </w:lvl>
    <w:lvl w:ilvl="6" w:tplc="BC2C776A" w:tentative="1">
      <w:start w:val="1"/>
      <w:numFmt w:val="bullet"/>
      <w:lvlText w:val=""/>
      <w:lvlJc w:val="left"/>
      <w:pPr>
        <w:tabs>
          <w:tab w:val="num" w:pos="7372"/>
        </w:tabs>
        <w:ind w:left="7372" w:hanging="360"/>
      </w:pPr>
      <w:rPr>
        <w:rFonts w:ascii="Symbol" w:hAnsi="Symbol" w:hint="default"/>
      </w:rPr>
    </w:lvl>
    <w:lvl w:ilvl="7" w:tplc="B13E385E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8" w:tplc="E9E2113A" w:tentative="1">
      <w:start w:val="1"/>
      <w:numFmt w:val="bullet"/>
      <w:lvlText w:val=""/>
      <w:lvlJc w:val="left"/>
      <w:pPr>
        <w:tabs>
          <w:tab w:val="num" w:pos="8812"/>
        </w:tabs>
        <w:ind w:left="88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20"/>
    <w:rsid w:val="00040800"/>
    <w:rsid w:val="000B53CD"/>
    <w:rsid w:val="000E05F6"/>
    <w:rsid w:val="000E4B13"/>
    <w:rsid w:val="00181B05"/>
    <w:rsid w:val="00210C12"/>
    <w:rsid w:val="00250016"/>
    <w:rsid w:val="002804C6"/>
    <w:rsid w:val="00295731"/>
    <w:rsid w:val="003469A4"/>
    <w:rsid w:val="003935FF"/>
    <w:rsid w:val="00401ACB"/>
    <w:rsid w:val="004234FA"/>
    <w:rsid w:val="00590EFE"/>
    <w:rsid w:val="006242D9"/>
    <w:rsid w:val="00641A53"/>
    <w:rsid w:val="006D0B83"/>
    <w:rsid w:val="00743F88"/>
    <w:rsid w:val="00752C6C"/>
    <w:rsid w:val="0076561D"/>
    <w:rsid w:val="00831A38"/>
    <w:rsid w:val="008956D2"/>
    <w:rsid w:val="008F184E"/>
    <w:rsid w:val="00957998"/>
    <w:rsid w:val="009D7420"/>
    <w:rsid w:val="009F11BE"/>
    <w:rsid w:val="00AE3EFC"/>
    <w:rsid w:val="00B11EF6"/>
    <w:rsid w:val="00C71375"/>
    <w:rsid w:val="00C93C87"/>
    <w:rsid w:val="00CD51F8"/>
    <w:rsid w:val="00D91BD9"/>
    <w:rsid w:val="00DC015E"/>
    <w:rsid w:val="00DF0651"/>
    <w:rsid w:val="00E12779"/>
    <w:rsid w:val="00E166A3"/>
    <w:rsid w:val="00E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7420"/>
    <w:pPr>
      <w:spacing w:after="200" w:line="276" w:lineRule="auto"/>
    </w:pPr>
  </w:style>
  <w:style w:type="paragraph" w:styleId="Antrat1">
    <w:name w:val="heading 1"/>
    <w:basedOn w:val="prastasis"/>
    <w:link w:val="Antrat1Diagrama"/>
    <w:uiPriority w:val="9"/>
    <w:qFormat/>
    <w:rsid w:val="00C43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unhideWhenUsed/>
    <w:qFormat/>
    <w:rsid w:val="00475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1D6A0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link w:val="Antrat4Diagrama"/>
    <w:uiPriority w:val="9"/>
    <w:unhideWhenUsed/>
    <w:qFormat/>
    <w:rsid w:val="004750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E4B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C61C2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Numatytasispastraiposriftas"/>
    <w:uiPriority w:val="99"/>
    <w:unhideWhenUsed/>
    <w:rsid w:val="00C61C2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C61C2E"/>
    <w:rPr>
      <w:color w:val="800080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1D6A0E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Emfaz">
    <w:name w:val="Emphasis"/>
    <w:basedOn w:val="Numatytasispastraiposriftas"/>
    <w:uiPriority w:val="20"/>
    <w:qFormat/>
    <w:rsid w:val="00F536ED"/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uiPriority w:val="99"/>
    <w:qFormat/>
    <w:rsid w:val="005342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3302A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C43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temimagecaption">
    <w:name w:val="itemimagecaption"/>
    <w:basedOn w:val="Numatytasispastraiposriftas"/>
    <w:qFormat/>
    <w:rsid w:val="00B33CFE"/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475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4750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475067"/>
  </w:style>
  <w:style w:type="character" w:customStyle="1" w:styleId="PagrindiniotekstotraukaDiagrama1">
    <w:name w:val="Pagrindinio teksto įtrauka Diagrama1"/>
    <w:basedOn w:val="PagrindinistekstasDiagrama"/>
    <w:link w:val="Pagrindiniotekstotrauka"/>
    <w:uiPriority w:val="99"/>
    <w:qFormat/>
    <w:rsid w:val="00475067"/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qFormat/>
    <w:rsid w:val="0047506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ing">
    <w:name w:val="Heading"/>
    <w:basedOn w:val="prastasis"/>
    <w:next w:val="Pagrindinistekstas"/>
    <w:qFormat/>
    <w:rsid w:val="009D742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5067"/>
    <w:pPr>
      <w:spacing w:after="120"/>
    </w:pPr>
  </w:style>
  <w:style w:type="paragraph" w:styleId="Sraas">
    <w:name w:val="List"/>
    <w:basedOn w:val="Pagrindinistekstas"/>
    <w:rsid w:val="009D7420"/>
    <w:rPr>
      <w:rFonts w:cs="FreeSans"/>
    </w:rPr>
  </w:style>
  <w:style w:type="paragraph" w:styleId="Antrat">
    <w:name w:val="caption"/>
    <w:basedOn w:val="prastasis"/>
    <w:qFormat/>
    <w:rsid w:val="009D742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prastasis"/>
    <w:qFormat/>
    <w:rsid w:val="009D7420"/>
    <w:pPr>
      <w:suppressLineNumbers/>
    </w:pPr>
    <w:rPr>
      <w:rFonts w:cs="Free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C61C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qFormat/>
    <w:rsid w:val="0053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agrindinistekstas"/>
    <w:link w:val="PagrindiniotekstotraukaDiagrama1"/>
    <w:uiPriority w:val="99"/>
    <w:unhideWhenUsed/>
    <w:qFormat/>
    <w:rsid w:val="00475067"/>
    <w:pPr>
      <w:spacing w:after="200"/>
      <w:ind w:firstLine="360"/>
    </w:pPr>
  </w:style>
  <w:style w:type="paragraph" w:customStyle="1" w:styleId="dokparasas">
    <w:name w:val="dokparasas"/>
    <w:basedOn w:val="prastasis"/>
    <w:qFormat/>
    <w:rsid w:val="0053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assuenkleliais">
    <w:name w:val="List Bullet"/>
    <w:basedOn w:val="prastasis"/>
    <w:uiPriority w:val="99"/>
    <w:unhideWhenUsed/>
    <w:qFormat/>
    <w:rsid w:val="00863317"/>
    <w:pPr>
      <w:contextualSpacing/>
    </w:p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qFormat/>
    <w:rsid w:val="00475067"/>
    <w:pPr>
      <w:ind w:left="360"/>
    </w:pPr>
  </w:style>
  <w:style w:type="table" w:styleId="Lentelstinklelis">
    <w:name w:val="Table Grid"/>
    <w:basedOn w:val="prastojilentel"/>
    <w:uiPriority w:val="59"/>
    <w:rsid w:val="00DE3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uiPriority w:val="9"/>
    <w:rsid w:val="000E4B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0E4B13"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0E4B13"/>
  </w:style>
  <w:style w:type="character" w:customStyle="1" w:styleId="st">
    <w:name w:val="st"/>
    <w:basedOn w:val="Numatytasispastraiposriftas"/>
    <w:rsid w:val="0076561D"/>
  </w:style>
  <w:style w:type="paragraph" w:styleId="Sraopastraipa">
    <w:name w:val="List Paragraph"/>
    <w:basedOn w:val="prastasis"/>
    <w:uiPriority w:val="34"/>
    <w:qFormat/>
    <w:rsid w:val="00743F8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56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56D2"/>
  </w:style>
  <w:style w:type="paragraph" w:styleId="Porat">
    <w:name w:val="footer"/>
    <w:basedOn w:val="prastasis"/>
    <w:link w:val="PoratDiagrama"/>
    <w:uiPriority w:val="99"/>
    <w:unhideWhenUsed/>
    <w:rsid w:val="008956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5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hyperlink" Target="http://www.lrs.lt/sip/portal.show?p_r=8840&amp;p_k=1&amp;p_a=padalinys&amp;p_kade_id=7&amp;p_pad_id=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6A62-5876-4C24-9024-32B0BDA9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15</Pages>
  <Words>18522</Words>
  <Characters>10558</Characters>
  <Application>Microsoft Office Word</Application>
  <DocSecurity>0</DocSecurity>
  <Lines>87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Valdemar</dc:creator>
  <dc:description/>
  <cp:lastModifiedBy>URBAN Valdemar</cp:lastModifiedBy>
  <cp:revision>30</cp:revision>
  <cp:lastPrinted>2016-07-07T13:17:00Z</cp:lastPrinted>
  <dcterms:created xsi:type="dcterms:W3CDTF">2016-06-30T08:10:00Z</dcterms:created>
  <dcterms:modified xsi:type="dcterms:W3CDTF">2016-07-07T13:25:00Z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